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F999" w14:textId="43A4A69C" w:rsidR="008C33BB" w:rsidRPr="008C33BB" w:rsidRDefault="006262EB" w:rsidP="00C84023">
      <w:pPr>
        <w:pStyle w:val="Title"/>
        <w:ind w:right="-8"/>
        <w:outlineLvl w:val="0"/>
      </w:pPr>
      <w:r>
        <w:t xml:space="preserve">Efektivitas Pupuk </w:t>
      </w:r>
      <w:r w:rsidR="00091D97">
        <w:t xml:space="preserve">Bioneensis </w:t>
      </w:r>
      <w:r w:rsidR="00435FA7">
        <w:t xml:space="preserve">pada Pertumbuhan Polong dan Produksi Kedelai Edamame </w:t>
      </w:r>
      <w:r w:rsidR="00435FA7" w:rsidRPr="006262EB">
        <w:rPr>
          <w:bCs/>
          <w:lang w:val="id"/>
        </w:rPr>
        <w:t>(</w:t>
      </w:r>
      <w:r w:rsidR="00435FA7" w:rsidRPr="006262EB">
        <w:rPr>
          <w:bCs/>
          <w:i/>
          <w:lang w:val="id"/>
        </w:rPr>
        <w:t xml:space="preserve">Glycine max </w:t>
      </w:r>
      <w:r w:rsidR="00435FA7" w:rsidRPr="006262EB">
        <w:rPr>
          <w:bCs/>
          <w:lang w:val="id"/>
        </w:rPr>
        <w:t xml:space="preserve">(L) Merril) </w:t>
      </w:r>
      <w:r w:rsidR="00435FA7">
        <w:t xml:space="preserve">dengan Sistem </w:t>
      </w:r>
      <w:r>
        <w:t xml:space="preserve">Tumpang Sari </w:t>
      </w:r>
      <w:r w:rsidRPr="006262EB">
        <w:rPr>
          <w:bCs/>
          <w:lang w:val="id"/>
        </w:rPr>
        <w:t>di Areal TBM Karet</w:t>
      </w:r>
      <w:r w:rsidRPr="006262EB">
        <w:t xml:space="preserve"> </w:t>
      </w:r>
    </w:p>
    <w:p w14:paraId="5A3ABD6E" w14:textId="389988B7" w:rsidR="00831E19" w:rsidRDefault="00831E19" w:rsidP="00831E19">
      <w:pPr>
        <w:pStyle w:val="Author"/>
        <w:outlineLvl w:val="0"/>
      </w:pPr>
      <w:bookmarkStart w:id="0" w:name="_Hlk205059648"/>
      <w:r>
        <w:t>Hanafi Harun Sipayung</w:t>
      </w:r>
      <w:bookmarkEnd w:id="0"/>
      <w:r w:rsidR="007929B6">
        <w:t xml:space="preserve">, </w:t>
      </w:r>
      <w:r>
        <w:t>Aries Sukariawan</w:t>
      </w:r>
      <w:r w:rsidR="00676959">
        <w:t xml:space="preserve"> </w:t>
      </w:r>
      <w:r w:rsidR="004B007C">
        <w:rPr>
          <w:vertAlign w:val="superscript"/>
        </w:rPr>
        <w:t>*</w:t>
      </w:r>
      <w:r w:rsidR="004B007C">
        <w:t xml:space="preserve">, </w:t>
      </w:r>
      <w:r>
        <w:t>Habib Prayitno</w:t>
      </w:r>
    </w:p>
    <w:p w14:paraId="5EAD5F11" w14:textId="3332E46B" w:rsidR="00C35F46" w:rsidRDefault="00A35013" w:rsidP="00C35F46">
      <w:pPr>
        <w:pStyle w:val="Affiliation"/>
      </w:pPr>
      <w:r>
        <w:t>Program Studi Budidaya Perkebunan,</w:t>
      </w:r>
      <w:r w:rsidR="00362378">
        <w:t xml:space="preserve"> Fakultas</w:t>
      </w:r>
      <w:r w:rsidR="001A3488">
        <w:t xml:space="preserve"> Vokasi</w:t>
      </w:r>
      <w:r w:rsidR="00362378">
        <w:t xml:space="preserve">, </w:t>
      </w:r>
      <w:r w:rsidR="001A3488">
        <w:t>Institut Teknologi Sawit Indonesia</w:t>
      </w:r>
      <w:r w:rsidR="00AD416F">
        <w:t>, Medan, Indonesia</w:t>
      </w:r>
    </w:p>
    <w:p w14:paraId="756C8DFD" w14:textId="3F9A3B51" w:rsidR="00C84023" w:rsidRPr="00C84023" w:rsidRDefault="00C84023" w:rsidP="00C84023"/>
    <w:p w14:paraId="26B0853F" w14:textId="1AE27110" w:rsidR="00BA5793" w:rsidRDefault="007B7182" w:rsidP="00C35F46">
      <w:r>
        <w:rPr>
          <w:noProof/>
        </w:rPr>
        <mc:AlternateContent>
          <mc:Choice Requires="wps">
            <w:drawing>
              <wp:anchor distT="0" distB="0" distL="114300" distR="114300" simplePos="0" relativeHeight="251660288" behindDoc="0" locked="0" layoutInCell="1" allowOverlap="1" wp14:anchorId="4CE74523" wp14:editId="0346CB8F">
                <wp:simplePos x="0" y="0"/>
                <wp:positionH relativeFrom="margin">
                  <wp:posOffset>7274</wp:posOffset>
                </wp:positionH>
                <wp:positionV relativeFrom="paragraph">
                  <wp:posOffset>5022</wp:posOffset>
                </wp:positionV>
                <wp:extent cx="609600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0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0C817"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4pt" to="48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" strokecolor="black [3213]" strokeweight="1pt">
                <v:stroke joinstyle="miter"/>
                <w10:wrap anchorx="margin"/>
              </v:line>
            </w:pict>
          </mc:Fallback>
        </mc:AlternateContent>
      </w:r>
    </w:p>
    <w:p w14:paraId="5CF47C41" w14:textId="77777777" w:rsidR="00E41749" w:rsidRDefault="00E41749" w:rsidP="00C35F46"/>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603"/>
      </w:tblGrid>
      <w:tr w:rsidR="002628E8" w:rsidRPr="007F55A2" w14:paraId="530DF092" w14:textId="77777777" w:rsidTr="00C84023">
        <w:trPr>
          <w:trHeight w:val="348"/>
        </w:trPr>
        <w:tc>
          <w:tcPr>
            <w:tcW w:w="3675" w:type="dxa"/>
            <w:tcBorders>
              <w:bottom w:val="single" w:sz="8" w:space="0" w:color="auto"/>
            </w:tcBorders>
            <w:shd w:val="clear" w:color="auto" w:fill="F2F2F2" w:themeFill="background1" w:themeFillShade="F2"/>
          </w:tcPr>
          <w:p w14:paraId="2A4FB690" w14:textId="2C447940" w:rsidR="000068BB" w:rsidRPr="00887C21" w:rsidRDefault="00816100" w:rsidP="002628E8">
            <w:pPr>
              <w:spacing w:before="60" w:after="60"/>
              <w:jc w:val="left"/>
              <w:rPr>
                <w:smallCaps/>
                <w:sz w:val="20"/>
                <w:szCs w:val="20"/>
              </w:rPr>
            </w:pPr>
            <w:r>
              <w:rPr>
                <w:smallCaps/>
                <w:sz w:val="20"/>
                <w:szCs w:val="20"/>
              </w:rPr>
              <w:t>Informasi Artikel</w:t>
            </w:r>
          </w:p>
        </w:tc>
        <w:tc>
          <w:tcPr>
            <w:tcW w:w="361" w:type="dxa"/>
            <w:vMerge w:val="restart"/>
          </w:tcPr>
          <w:p w14:paraId="4F1B69D5" w14:textId="77777777" w:rsidR="000068BB" w:rsidRPr="007F55A2" w:rsidRDefault="000068BB" w:rsidP="000B74FA">
            <w:pPr>
              <w:spacing w:after="120"/>
              <w:jc w:val="left"/>
              <w:rPr>
                <w:sz w:val="20"/>
              </w:rPr>
            </w:pPr>
          </w:p>
        </w:tc>
        <w:tc>
          <w:tcPr>
            <w:tcW w:w="5603" w:type="dxa"/>
            <w:tcBorders>
              <w:bottom w:val="single" w:sz="8" w:space="0" w:color="auto"/>
            </w:tcBorders>
          </w:tcPr>
          <w:p w14:paraId="69B80112" w14:textId="4AA31E1D" w:rsidR="000068BB" w:rsidRPr="00887C21" w:rsidRDefault="00620162" w:rsidP="000B74FA">
            <w:pPr>
              <w:spacing w:after="120"/>
              <w:jc w:val="left"/>
              <w:rPr>
                <w:b/>
                <w:bCs/>
                <w:spacing w:val="100"/>
                <w:sz w:val="20"/>
                <w:szCs w:val="20"/>
              </w:rPr>
            </w:pPr>
            <w:r>
              <w:rPr>
                <w:b/>
                <w:bCs/>
                <w:spacing w:val="100"/>
                <w:sz w:val="20"/>
                <w:szCs w:val="20"/>
              </w:rPr>
              <w:t>ABSTRAK</w:t>
            </w:r>
          </w:p>
        </w:tc>
      </w:tr>
      <w:tr w:rsidR="002628E8" w14:paraId="5CD6491D" w14:textId="77777777" w:rsidTr="00C84023">
        <w:trPr>
          <w:trHeight w:val="940"/>
        </w:trPr>
        <w:tc>
          <w:tcPr>
            <w:tcW w:w="3675" w:type="dxa"/>
            <w:tcBorders>
              <w:top w:val="single" w:sz="8" w:space="0" w:color="auto"/>
            </w:tcBorders>
          </w:tcPr>
          <w:p w14:paraId="5FE756E6" w14:textId="42081819" w:rsidR="000068BB" w:rsidRPr="009B03D2" w:rsidRDefault="00A97CE5" w:rsidP="00C35F46">
            <w:pPr>
              <w:rPr>
                <w:sz w:val="16"/>
              </w:rPr>
            </w:pPr>
            <w:r>
              <w:rPr>
                <w:sz w:val="16"/>
              </w:rPr>
              <w:br/>
            </w:r>
            <w:r w:rsidR="00A3000C">
              <w:rPr>
                <w:sz w:val="16"/>
              </w:rPr>
              <w:t xml:space="preserve">Diterbitkan </w:t>
            </w:r>
            <w:r w:rsidR="00A3000C">
              <w:rPr>
                <w:i/>
                <w:iCs/>
                <w:sz w:val="16"/>
              </w:rPr>
              <w:t>Online</w:t>
            </w:r>
            <w:r w:rsidR="002628E8">
              <w:rPr>
                <w:sz w:val="16"/>
              </w:rPr>
              <w:t xml:space="preserve">: </w:t>
            </w:r>
            <w:r w:rsidR="005B5F65">
              <w:rPr>
                <w:sz w:val="16"/>
              </w:rPr>
              <w:t>02 Agustus 2025</w:t>
            </w:r>
          </w:p>
        </w:tc>
        <w:tc>
          <w:tcPr>
            <w:tcW w:w="361" w:type="dxa"/>
            <w:vMerge/>
          </w:tcPr>
          <w:p w14:paraId="48FD917E" w14:textId="77777777" w:rsidR="000068BB" w:rsidRDefault="000068BB" w:rsidP="00C35F46"/>
        </w:tc>
        <w:tc>
          <w:tcPr>
            <w:tcW w:w="5603" w:type="dxa"/>
            <w:vMerge w:val="restart"/>
            <w:tcBorders>
              <w:top w:val="single" w:sz="8" w:space="0" w:color="auto"/>
            </w:tcBorders>
          </w:tcPr>
          <w:p w14:paraId="42C363BE" w14:textId="7612999C" w:rsidR="000068BB" w:rsidRPr="00B11BA5" w:rsidRDefault="00F67BAF" w:rsidP="00F67BAF">
            <w:pPr>
              <w:pStyle w:val="BodyText"/>
              <w:spacing w:before="272"/>
              <w:jc w:val="both"/>
              <w:rPr>
                <w:sz w:val="16"/>
                <w:szCs w:val="28"/>
              </w:rPr>
            </w:pPr>
            <w:r w:rsidRPr="00F67BAF">
              <w:rPr>
                <w:sz w:val="16"/>
                <w:szCs w:val="16"/>
              </w:rPr>
              <w:t xml:space="preserve">Edamame merupakan jenis tanaman </w:t>
            </w:r>
            <w:r w:rsidR="00234E7E">
              <w:rPr>
                <w:sz w:val="16"/>
                <w:szCs w:val="16"/>
              </w:rPr>
              <w:t xml:space="preserve">kedelai </w:t>
            </w:r>
            <w:r w:rsidRPr="00F67BAF">
              <w:rPr>
                <w:sz w:val="16"/>
                <w:szCs w:val="16"/>
              </w:rPr>
              <w:t xml:space="preserve">yang berasal dari Jepang </w:t>
            </w:r>
            <w:r w:rsidR="00234E7E">
              <w:rPr>
                <w:sz w:val="16"/>
                <w:szCs w:val="16"/>
              </w:rPr>
              <w:t>yang</w:t>
            </w:r>
            <w:r w:rsidRPr="00F67BAF">
              <w:rPr>
                <w:sz w:val="16"/>
                <w:szCs w:val="16"/>
              </w:rPr>
              <w:t xml:space="preserve"> memiliki nilai jual yang lebih tinggi dibandingkan dengan kedelai biasa</w:t>
            </w:r>
            <w:r w:rsidR="00986876" w:rsidRPr="00B273E5">
              <w:rPr>
                <w:sz w:val="16"/>
                <w:szCs w:val="16"/>
              </w:rPr>
              <w:t>.</w:t>
            </w:r>
            <w:r w:rsidR="00234E7E">
              <w:rPr>
                <w:sz w:val="16"/>
                <w:szCs w:val="16"/>
              </w:rPr>
              <w:t xml:space="preserve"> </w:t>
            </w:r>
            <w:r w:rsidR="00986876" w:rsidRPr="00B273E5">
              <w:rPr>
                <w:sz w:val="16"/>
                <w:szCs w:val="16"/>
              </w:rPr>
              <w:t>Pemupukan menjadi faktor pen</w:t>
            </w:r>
            <w:r w:rsidR="00234E7E">
              <w:rPr>
                <w:sz w:val="16"/>
                <w:szCs w:val="16"/>
              </w:rPr>
              <w:t>ting</w:t>
            </w:r>
            <w:r w:rsidR="00986876" w:rsidRPr="00B273E5">
              <w:rPr>
                <w:sz w:val="16"/>
                <w:szCs w:val="16"/>
              </w:rPr>
              <w:t xml:space="preserve"> dalam budidaya tanaman</w:t>
            </w:r>
            <w:r w:rsidR="00234E7E">
              <w:rPr>
                <w:sz w:val="16"/>
                <w:szCs w:val="16"/>
              </w:rPr>
              <w:t xml:space="preserve"> edamame, pemupukan dimaksud bukan pupuk anorganik semata namun dalam arti luas termasuk didalamnya pupuk organik maupun pupuk hayati. </w:t>
            </w:r>
            <w:r w:rsidR="00986876" w:rsidRPr="00B273E5">
              <w:rPr>
                <w:sz w:val="16"/>
                <w:szCs w:val="16"/>
              </w:rPr>
              <w:t xml:space="preserve">Penelitian dilaksanakan di kebun praktek TBM karet Institut Teknologi Sawit Indonesia (ITSI), </w:t>
            </w:r>
            <w:r w:rsidR="0042137B">
              <w:rPr>
                <w:sz w:val="16"/>
                <w:szCs w:val="16"/>
              </w:rPr>
              <w:t xml:space="preserve">yang berlangsung pada bulan </w:t>
            </w:r>
            <w:r w:rsidR="009E7351">
              <w:rPr>
                <w:sz w:val="16"/>
                <w:szCs w:val="16"/>
              </w:rPr>
              <w:t>April</w:t>
            </w:r>
            <w:r w:rsidR="00986876" w:rsidRPr="00B273E5">
              <w:rPr>
                <w:sz w:val="16"/>
                <w:szCs w:val="16"/>
              </w:rPr>
              <w:t xml:space="preserve"> – Agustus 2022. Tujuan penelitian adalah menguji efektifitas pengaplikasian</w:t>
            </w:r>
            <w:r w:rsidR="00986876" w:rsidRPr="00B273E5">
              <w:rPr>
                <w:spacing w:val="40"/>
                <w:sz w:val="16"/>
                <w:szCs w:val="16"/>
              </w:rPr>
              <w:t xml:space="preserve"> </w:t>
            </w:r>
            <w:r w:rsidR="00986876" w:rsidRPr="00B273E5">
              <w:rPr>
                <w:sz w:val="16"/>
                <w:szCs w:val="16"/>
              </w:rPr>
              <w:t>berbagai dosis pupuk Bioneensis tarhadap pertumbuhan dan hasil kedelai edamame sebagai tanaman tumpang sari di areal TBM karet dan menganalisa beberapa parameter</w:t>
            </w:r>
            <w:r w:rsidR="00986876" w:rsidRPr="00B273E5">
              <w:rPr>
                <w:spacing w:val="40"/>
                <w:sz w:val="16"/>
                <w:szCs w:val="16"/>
              </w:rPr>
              <w:t xml:space="preserve"> </w:t>
            </w:r>
            <w:r w:rsidR="00986876" w:rsidRPr="00B273E5">
              <w:rPr>
                <w:sz w:val="16"/>
                <w:szCs w:val="16"/>
              </w:rPr>
              <w:t>pengamatan tanaman kedelai edamame pengaruh dari pupuk konsorsium mikroba (Bioneensis) di areal TBM</w:t>
            </w:r>
            <w:r w:rsidR="00986876" w:rsidRPr="00B273E5">
              <w:rPr>
                <w:spacing w:val="40"/>
                <w:sz w:val="16"/>
                <w:szCs w:val="16"/>
              </w:rPr>
              <w:t xml:space="preserve"> </w:t>
            </w:r>
            <w:r w:rsidR="00986876" w:rsidRPr="00B273E5">
              <w:rPr>
                <w:sz w:val="16"/>
                <w:szCs w:val="16"/>
              </w:rPr>
              <w:t>karet. Penelitian ini menggunaknan rancangan acak kelompok (RAK) Non Faktorial,</w:t>
            </w:r>
            <w:r w:rsidR="00986876" w:rsidRPr="00B273E5">
              <w:rPr>
                <w:spacing w:val="-1"/>
                <w:sz w:val="16"/>
                <w:szCs w:val="16"/>
              </w:rPr>
              <w:t xml:space="preserve"> </w:t>
            </w:r>
            <w:r w:rsidR="00986876" w:rsidRPr="00B273E5">
              <w:rPr>
                <w:sz w:val="16"/>
                <w:szCs w:val="16"/>
              </w:rPr>
              <w:t>parameter yang</w:t>
            </w:r>
            <w:r w:rsidR="00986876" w:rsidRPr="00B273E5">
              <w:rPr>
                <w:spacing w:val="-5"/>
                <w:sz w:val="16"/>
                <w:szCs w:val="16"/>
              </w:rPr>
              <w:t xml:space="preserve"> </w:t>
            </w:r>
            <w:r w:rsidR="00986876" w:rsidRPr="00B273E5">
              <w:rPr>
                <w:sz w:val="16"/>
                <w:szCs w:val="16"/>
              </w:rPr>
              <w:t xml:space="preserve">diamati meliputi </w:t>
            </w:r>
            <w:r w:rsidR="009E7351" w:rsidRPr="009E7351">
              <w:rPr>
                <w:sz w:val="16"/>
                <w:szCs w:val="16"/>
              </w:rPr>
              <w:t>jumlah biji pertanaman, berat biji per tanaman, jumlah polong per tanaman, berat polong per tanaman, hasil perpetak dan produksi per hektar</w:t>
            </w:r>
            <w:r w:rsidR="009E7351">
              <w:rPr>
                <w:sz w:val="16"/>
                <w:szCs w:val="16"/>
              </w:rPr>
              <w:t>.</w:t>
            </w:r>
            <w:r w:rsidR="0042137B">
              <w:rPr>
                <w:sz w:val="16"/>
                <w:szCs w:val="16"/>
              </w:rPr>
              <w:t xml:space="preserve"> </w:t>
            </w:r>
            <w:r w:rsidR="0042137B" w:rsidRPr="0042137B">
              <w:rPr>
                <w:sz w:val="16"/>
                <w:szCs w:val="16"/>
              </w:rPr>
              <w:t>Hasil penelitian menunjukkan</w:t>
            </w:r>
            <w:r w:rsidR="0042137B">
              <w:rPr>
                <w:sz w:val="16"/>
                <w:szCs w:val="16"/>
              </w:rPr>
              <w:t>, bioneensis</w:t>
            </w:r>
            <w:r w:rsidR="0042137B" w:rsidRPr="0042137B">
              <w:rPr>
                <w:sz w:val="16"/>
                <w:szCs w:val="16"/>
              </w:rPr>
              <w:t xml:space="preserve"> memberikan pengaruh terhadap hasil kedelai edamame sebagai tumpang sari di areal tanaman karet. Dosis P3 (10 kg </w:t>
            </w:r>
            <w:r w:rsidR="0042137B">
              <w:rPr>
                <w:sz w:val="16"/>
                <w:szCs w:val="16"/>
              </w:rPr>
              <w:t>b</w:t>
            </w:r>
            <w:r w:rsidR="0042137B" w:rsidRPr="0042137B">
              <w:rPr>
                <w:sz w:val="16"/>
                <w:szCs w:val="16"/>
              </w:rPr>
              <w:t>ioneensis/m</w:t>
            </w:r>
            <w:r w:rsidR="0042137B" w:rsidRPr="0042137B">
              <w:rPr>
                <w:sz w:val="16"/>
                <w:szCs w:val="16"/>
                <w:vertAlign w:val="superscript"/>
              </w:rPr>
              <w:t>2</w:t>
            </w:r>
            <w:r w:rsidR="0042137B" w:rsidRPr="0042137B">
              <w:rPr>
                <w:sz w:val="16"/>
                <w:szCs w:val="16"/>
              </w:rPr>
              <w:t>) memberikan nilai tertinggi pada jumlah biji pertanaman, berat biji pertanaman, berat polong pertanaman, hasil perpetak dan konversi produksi ton/ha</w:t>
            </w:r>
            <w:r w:rsidR="0042137B">
              <w:rPr>
                <w:sz w:val="16"/>
                <w:szCs w:val="16"/>
              </w:rPr>
              <w:t xml:space="preserve">. </w:t>
            </w:r>
          </w:p>
        </w:tc>
      </w:tr>
      <w:tr w:rsidR="002628E8" w:rsidRPr="000B74FA" w14:paraId="42D61D6F" w14:textId="77777777" w:rsidTr="00C84023">
        <w:trPr>
          <w:trHeight w:val="348"/>
        </w:trPr>
        <w:tc>
          <w:tcPr>
            <w:tcW w:w="3675" w:type="dxa"/>
            <w:tcBorders>
              <w:bottom w:val="single" w:sz="8" w:space="0" w:color="auto"/>
            </w:tcBorders>
            <w:shd w:val="clear" w:color="auto" w:fill="F2F2F2" w:themeFill="background1" w:themeFillShade="F2"/>
          </w:tcPr>
          <w:p w14:paraId="23BFB641" w14:textId="57579328" w:rsidR="000068BB" w:rsidRPr="00887C21" w:rsidRDefault="00816100" w:rsidP="00C86276">
            <w:pPr>
              <w:spacing w:before="60" w:after="60"/>
              <w:rPr>
                <w:smallCaps/>
                <w:sz w:val="20"/>
                <w:szCs w:val="20"/>
              </w:rPr>
            </w:pPr>
            <w:r>
              <w:rPr>
                <w:smallCaps/>
                <w:sz w:val="20"/>
                <w:szCs w:val="20"/>
              </w:rPr>
              <w:t>Kata Kunci</w:t>
            </w:r>
          </w:p>
        </w:tc>
        <w:tc>
          <w:tcPr>
            <w:tcW w:w="361" w:type="dxa"/>
            <w:vMerge/>
          </w:tcPr>
          <w:p w14:paraId="0CBF917D" w14:textId="77777777" w:rsidR="000068BB" w:rsidRPr="000B74FA" w:rsidRDefault="000068BB" w:rsidP="000B74FA">
            <w:pPr>
              <w:spacing w:after="120"/>
              <w:rPr>
                <w:sz w:val="20"/>
              </w:rPr>
            </w:pPr>
          </w:p>
        </w:tc>
        <w:tc>
          <w:tcPr>
            <w:tcW w:w="5603" w:type="dxa"/>
            <w:vMerge/>
          </w:tcPr>
          <w:p w14:paraId="2C3D32E4" w14:textId="77777777" w:rsidR="000068BB" w:rsidRPr="000B74FA" w:rsidRDefault="000068BB" w:rsidP="000B74FA">
            <w:pPr>
              <w:spacing w:after="120"/>
              <w:rPr>
                <w:sz w:val="20"/>
              </w:rPr>
            </w:pPr>
          </w:p>
        </w:tc>
      </w:tr>
      <w:tr w:rsidR="002628E8" w14:paraId="1C55B670" w14:textId="77777777" w:rsidTr="00C84023">
        <w:trPr>
          <w:trHeight w:val="278"/>
        </w:trPr>
        <w:tc>
          <w:tcPr>
            <w:tcW w:w="3675" w:type="dxa"/>
            <w:tcBorders>
              <w:top w:val="single" w:sz="8" w:space="0" w:color="auto"/>
            </w:tcBorders>
          </w:tcPr>
          <w:p w14:paraId="46BE90CF" w14:textId="77777777" w:rsidR="00F60BFB" w:rsidRPr="00F60BFB" w:rsidRDefault="00F60BFB" w:rsidP="00CD08E5">
            <w:pPr>
              <w:jc w:val="left"/>
              <w:rPr>
                <w:sz w:val="8"/>
                <w:szCs w:val="14"/>
              </w:rPr>
            </w:pPr>
          </w:p>
          <w:p w14:paraId="264A03DD" w14:textId="3E4E9B46" w:rsidR="00760B6E" w:rsidRDefault="00760B6E" w:rsidP="00CD08E5">
            <w:pPr>
              <w:jc w:val="left"/>
            </w:pPr>
            <w:r>
              <w:t>Pupuk Hayati</w:t>
            </w:r>
            <w:r w:rsidR="00F60BFB">
              <w:br/>
            </w:r>
            <w:r>
              <w:t>Bioneensis</w:t>
            </w:r>
            <w:r w:rsidR="00F60BFB">
              <w:br/>
            </w:r>
            <w:r>
              <w:t>Mikroba</w:t>
            </w:r>
            <w:r w:rsidR="00F60BFB">
              <w:br/>
            </w:r>
            <w:r>
              <w:t>Edamame</w:t>
            </w:r>
          </w:p>
          <w:p w14:paraId="2B34058A" w14:textId="68E22551" w:rsidR="00F60BFB" w:rsidRPr="00F60BFB" w:rsidRDefault="00F60BFB" w:rsidP="00CD08E5">
            <w:pPr>
              <w:jc w:val="left"/>
              <w:rPr>
                <w:sz w:val="12"/>
                <w:szCs w:val="18"/>
              </w:rPr>
            </w:pPr>
          </w:p>
        </w:tc>
        <w:tc>
          <w:tcPr>
            <w:tcW w:w="361" w:type="dxa"/>
            <w:vMerge/>
          </w:tcPr>
          <w:p w14:paraId="05C54D49" w14:textId="77777777" w:rsidR="000068BB" w:rsidRDefault="000068BB" w:rsidP="00C35F46"/>
        </w:tc>
        <w:tc>
          <w:tcPr>
            <w:tcW w:w="5603" w:type="dxa"/>
            <w:vMerge/>
          </w:tcPr>
          <w:p w14:paraId="7D32AE4D" w14:textId="77777777" w:rsidR="000068BB" w:rsidRDefault="000068BB" w:rsidP="00C35F46"/>
        </w:tc>
      </w:tr>
      <w:tr w:rsidR="002628E8" w14:paraId="3C6740AC" w14:textId="77777777" w:rsidTr="00C84023">
        <w:trPr>
          <w:trHeight w:val="278"/>
        </w:trPr>
        <w:tc>
          <w:tcPr>
            <w:tcW w:w="3675" w:type="dxa"/>
            <w:tcBorders>
              <w:bottom w:val="single" w:sz="8" w:space="0" w:color="auto"/>
            </w:tcBorders>
            <w:shd w:val="clear" w:color="auto" w:fill="F2F2F2" w:themeFill="background1" w:themeFillShade="F2"/>
          </w:tcPr>
          <w:p w14:paraId="1F44A0E9" w14:textId="6D9E985E" w:rsidR="000068BB" w:rsidRPr="00887C21" w:rsidRDefault="00816100" w:rsidP="00C86276">
            <w:pPr>
              <w:spacing w:before="60" w:after="60"/>
              <w:rPr>
                <w:smallCaps/>
                <w:szCs w:val="20"/>
              </w:rPr>
            </w:pPr>
            <w:r>
              <w:rPr>
                <w:smallCaps/>
                <w:sz w:val="20"/>
                <w:szCs w:val="20"/>
              </w:rPr>
              <w:t>Kores</w:t>
            </w:r>
            <w:r w:rsidR="007964CF">
              <w:rPr>
                <w:smallCaps/>
                <w:sz w:val="20"/>
                <w:szCs w:val="20"/>
              </w:rPr>
              <w:t>p</w:t>
            </w:r>
            <w:r>
              <w:rPr>
                <w:smallCaps/>
                <w:sz w:val="20"/>
                <w:szCs w:val="20"/>
              </w:rPr>
              <w:t>ondensi</w:t>
            </w:r>
            <w:r w:rsidR="00F60BFB">
              <w:rPr>
                <w:smallCaps/>
                <w:sz w:val="20"/>
                <w:szCs w:val="20"/>
              </w:rPr>
              <w:t xml:space="preserve"> </w:t>
            </w:r>
            <w:r w:rsidR="00F60BFB" w:rsidRPr="00F60BFB">
              <w:rPr>
                <w:smallCaps/>
                <w:sz w:val="20"/>
                <w:szCs w:val="20"/>
                <w:vertAlign w:val="superscript"/>
              </w:rPr>
              <w:t>(*)</w:t>
            </w:r>
          </w:p>
        </w:tc>
        <w:tc>
          <w:tcPr>
            <w:tcW w:w="361" w:type="dxa"/>
            <w:vMerge/>
          </w:tcPr>
          <w:p w14:paraId="26DDC34B" w14:textId="77777777" w:rsidR="000068BB" w:rsidRDefault="000068BB" w:rsidP="00C35F46"/>
        </w:tc>
        <w:tc>
          <w:tcPr>
            <w:tcW w:w="5603" w:type="dxa"/>
            <w:vMerge/>
          </w:tcPr>
          <w:p w14:paraId="2499D403" w14:textId="77777777" w:rsidR="000068BB" w:rsidRDefault="000068BB" w:rsidP="00C35F46"/>
        </w:tc>
      </w:tr>
      <w:tr w:rsidR="002628E8" w14:paraId="3985F2A5" w14:textId="77777777" w:rsidTr="00C84023">
        <w:trPr>
          <w:trHeight w:val="278"/>
        </w:trPr>
        <w:tc>
          <w:tcPr>
            <w:tcW w:w="3675" w:type="dxa"/>
            <w:tcBorders>
              <w:top w:val="single" w:sz="8" w:space="0" w:color="auto"/>
              <w:bottom w:val="single" w:sz="8" w:space="0" w:color="auto"/>
            </w:tcBorders>
          </w:tcPr>
          <w:p w14:paraId="6028C832" w14:textId="25E20456" w:rsidR="000068BB" w:rsidRPr="00612A25" w:rsidRDefault="002628E8" w:rsidP="005C1634">
            <w:pPr>
              <w:spacing w:before="120" w:line="360" w:lineRule="auto"/>
              <w:rPr>
                <w:sz w:val="16"/>
              </w:rPr>
            </w:pPr>
            <w:r>
              <w:rPr>
                <w:sz w:val="16"/>
              </w:rPr>
              <w:t>Phone</w:t>
            </w:r>
            <w:r w:rsidR="000068BB" w:rsidRPr="00612A25">
              <w:rPr>
                <w:sz w:val="16"/>
              </w:rPr>
              <w:t xml:space="preserve">: </w:t>
            </w:r>
            <w:r w:rsidR="00085C73">
              <w:rPr>
                <w:sz w:val="16"/>
              </w:rPr>
              <w:t xml:space="preserve">+62 </w:t>
            </w:r>
            <w:r w:rsidR="004B007C">
              <w:rPr>
                <w:sz w:val="16"/>
              </w:rPr>
              <w:t>812</w:t>
            </w:r>
            <w:r w:rsidR="00085C73">
              <w:rPr>
                <w:sz w:val="16"/>
              </w:rPr>
              <w:t>-</w:t>
            </w:r>
            <w:r w:rsidR="004B007C">
              <w:rPr>
                <w:sz w:val="16"/>
              </w:rPr>
              <w:t>158</w:t>
            </w:r>
            <w:r w:rsidR="00085C73">
              <w:rPr>
                <w:sz w:val="16"/>
              </w:rPr>
              <w:t>-</w:t>
            </w:r>
            <w:r w:rsidR="00437055">
              <w:rPr>
                <w:sz w:val="16"/>
              </w:rPr>
              <w:t>4246</w:t>
            </w:r>
          </w:p>
          <w:p w14:paraId="17950B78" w14:textId="16297B9B" w:rsidR="000068BB" w:rsidRPr="000068BB" w:rsidRDefault="000068BB" w:rsidP="002628E8">
            <w:pPr>
              <w:spacing w:line="360" w:lineRule="auto"/>
            </w:pPr>
            <w:r w:rsidRPr="00612A25">
              <w:rPr>
                <w:sz w:val="16"/>
              </w:rPr>
              <w:t xml:space="preserve">E-mail: </w:t>
            </w:r>
            <w:hyperlink r:id="rId8" w:history="1">
              <w:r w:rsidR="00085C73" w:rsidRPr="00702285">
                <w:rPr>
                  <w:rStyle w:val="Hyperlink"/>
                  <w:sz w:val="16"/>
                </w:rPr>
                <w:t>ariesukariawan@itsi.ac.id</w:t>
              </w:r>
            </w:hyperlink>
            <w:r w:rsidR="00085C73">
              <w:rPr>
                <w:sz w:val="16"/>
              </w:rPr>
              <w:t xml:space="preserve"> </w:t>
            </w:r>
          </w:p>
        </w:tc>
        <w:tc>
          <w:tcPr>
            <w:tcW w:w="361" w:type="dxa"/>
            <w:vMerge/>
          </w:tcPr>
          <w:p w14:paraId="4BE5C43F" w14:textId="77777777" w:rsidR="000068BB" w:rsidRDefault="000068BB" w:rsidP="00C35F46"/>
        </w:tc>
        <w:tc>
          <w:tcPr>
            <w:tcW w:w="5603" w:type="dxa"/>
            <w:vMerge/>
            <w:tcBorders>
              <w:bottom w:val="single" w:sz="8" w:space="0" w:color="auto"/>
            </w:tcBorders>
          </w:tcPr>
          <w:p w14:paraId="48A693EE" w14:textId="77777777" w:rsidR="000068BB" w:rsidRDefault="000068BB" w:rsidP="00C35F46"/>
        </w:tc>
      </w:tr>
    </w:tbl>
    <w:p w14:paraId="62BA6DF8" w14:textId="77777777" w:rsidR="00415A10" w:rsidRDefault="00415A10" w:rsidP="00C35F46">
      <w:pPr>
        <w:sectPr w:rsidR="00415A10" w:rsidSect="009970DF">
          <w:headerReference w:type="even" r:id="rId9"/>
          <w:headerReference w:type="default" r:id="rId10"/>
          <w:footerReference w:type="even" r:id="rId11"/>
          <w:footerReference w:type="default" r:id="rId12"/>
          <w:headerReference w:type="first" r:id="rId13"/>
          <w:footerReference w:type="first" r:id="rId14"/>
          <w:type w:val="continuous"/>
          <w:pgSz w:w="11900" w:h="16840"/>
          <w:pgMar w:top="2637" w:right="1127" w:bottom="1134" w:left="1134" w:header="851" w:footer="851" w:gutter="0"/>
          <w:pgNumType w:start="73"/>
          <w:cols w:space="708"/>
          <w:titlePg/>
          <w:docGrid w:linePitch="360"/>
        </w:sectPr>
      </w:pPr>
    </w:p>
    <w:p w14:paraId="2519AE9E" w14:textId="644E2F2E" w:rsidR="00282CB7" w:rsidRPr="00272110" w:rsidRDefault="00751D7C" w:rsidP="000D24FA">
      <w:pPr>
        <w:pStyle w:val="Heading1"/>
        <w:numPr>
          <w:ilvl w:val="0"/>
          <w:numId w:val="0"/>
        </w:numPr>
        <w:rPr>
          <w:szCs w:val="21"/>
        </w:rPr>
      </w:pPr>
      <w:r w:rsidRPr="00272110">
        <w:rPr>
          <w:szCs w:val="21"/>
          <w:lang w:val="en-US"/>
        </w:rPr>
        <w:t>PENDAHULUAN</w:t>
      </w:r>
    </w:p>
    <w:p w14:paraId="54DA67F9" w14:textId="77777777" w:rsidR="00DC0E61" w:rsidRPr="00272110" w:rsidRDefault="00DC0E61" w:rsidP="00282CB7">
      <w:pPr>
        <w:sectPr w:rsidR="00DC0E61" w:rsidRPr="00272110" w:rsidSect="000D24FA">
          <w:headerReference w:type="even" r:id="rId15"/>
          <w:type w:val="continuous"/>
          <w:pgSz w:w="11900" w:h="16840"/>
          <w:pgMar w:top="1134" w:right="851" w:bottom="1171" w:left="1134" w:header="567" w:footer="850" w:gutter="0"/>
          <w:cols w:num="2" w:space="567"/>
          <w:titlePg/>
          <w:docGrid w:linePitch="360"/>
        </w:sectPr>
      </w:pPr>
    </w:p>
    <w:p w14:paraId="0E25F8AC" w14:textId="132337F7" w:rsidR="00CF70BB" w:rsidRPr="00272110" w:rsidRDefault="000F75FB" w:rsidP="00A753E5">
      <w:pPr>
        <w:rPr>
          <w:sz w:val="20"/>
          <w:szCs w:val="28"/>
          <w:lang w:val="id"/>
        </w:rPr>
      </w:pPr>
      <w:r w:rsidRPr="00272110">
        <w:rPr>
          <w:sz w:val="20"/>
          <w:szCs w:val="28"/>
          <w:lang w:val="id"/>
        </w:rPr>
        <w:t xml:space="preserve">Edamame merupakan jenis tanaman yang berasal dari Jepang dan mulai banyak dibudidayakan di Indonesia. Tanaman ini </w:t>
      </w:r>
      <w:r w:rsidR="008E1A51" w:rsidRPr="00272110">
        <w:rPr>
          <w:sz w:val="20"/>
          <w:szCs w:val="28"/>
          <w:lang w:val="id"/>
        </w:rPr>
        <w:t>memil</w:t>
      </w:r>
      <w:r w:rsidR="005D3FCA" w:rsidRPr="00272110">
        <w:rPr>
          <w:sz w:val="20"/>
          <w:szCs w:val="28"/>
          <w:lang w:val="id"/>
        </w:rPr>
        <w:t>i</w:t>
      </w:r>
      <w:r w:rsidR="008E1A51" w:rsidRPr="00272110">
        <w:rPr>
          <w:sz w:val="20"/>
          <w:szCs w:val="28"/>
          <w:lang w:val="id"/>
        </w:rPr>
        <w:t xml:space="preserve">ki nilai jual yang lebih tinggi dibandingkan dengan kedelai biasa. </w:t>
      </w:r>
      <w:r w:rsidR="005D3FCA" w:rsidRPr="00272110">
        <w:rPr>
          <w:sz w:val="20"/>
          <w:szCs w:val="28"/>
          <w:lang w:val="id"/>
        </w:rPr>
        <w:t>Edamame memiliki rata-rata produksi 3,5 ton/ha lebih tinggi dari pada produksi tanaman kedelai biasa yang memiliki rata-rata produksi 1,7–3,2 ton/ha. Selain itu, edamame juga memiliki peluang pasar eksport yang luas. Permintaan eksport dari negara Jepang sebesar 100.000 ton per tahun dan Amerika sebesar 7.000 ton per tahun. Sementara itu Indonesia baru dapat memenuhi 3% dari kebutuhan pasar Jepang, sedangkan 97% lainnya dipenuhi oleh Cina dan Taiwan</w:t>
      </w:r>
      <w:r w:rsidR="00E045AD" w:rsidRPr="00272110">
        <w:rPr>
          <w:sz w:val="20"/>
          <w:szCs w:val="28"/>
          <w:lang w:val="id"/>
        </w:rPr>
        <w:t xml:space="preserve"> </w:t>
      </w:r>
      <w:r w:rsidR="005D3FCA" w:rsidRPr="00272110">
        <w:rPr>
          <w:sz w:val="20"/>
          <w:szCs w:val="28"/>
          <w:lang w:val="id"/>
        </w:rPr>
        <w:t>(</w:t>
      </w:r>
      <w:r w:rsidR="003A0654" w:rsidRPr="00272110">
        <w:rPr>
          <w:sz w:val="20"/>
          <w:szCs w:val="28"/>
          <w:lang w:val="id"/>
        </w:rPr>
        <w:t>Pambudi</w:t>
      </w:r>
      <w:r w:rsidR="005D3FCA" w:rsidRPr="00272110">
        <w:rPr>
          <w:sz w:val="20"/>
          <w:szCs w:val="28"/>
          <w:lang w:val="id"/>
        </w:rPr>
        <w:t>, 2013).</w:t>
      </w:r>
    </w:p>
    <w:p w14:paraId="0DE8C955" w14:textId="77777777" w:rsidR="008E1A51" w:rsidRPr="00272110" w:rsidRDefault="008E1A51" w:rsidP="00A753E5">
      <w:pPr>
        <w:rPr>
          <w:sz w:val="20"/>
          <w:szCs w:val="28"/>
          <w:lang w:val="id-ID"/>
        </w:rPr>
      </w:pPr>
    </w:p>
    <w:p w14:paraId="46484892" w14:textId="1606C407" w:rsidR="00A753E5" w:rsidRPr="00272110" w:rsidRDefault="00256E52" w:rsidP="00A753E5">
      <w:pPr>
        <w:rPr>
          <w:sz w:val="20"/>
          <w:szCs w:val="28"/>
          <w:lang w:val="id"/>
        </w:rPr>
      </w:pPr>
      <w:r w:rsidRPr="00272110">
        <w:rPr>
          <w:sz w:val="20"/>
          <w:szCs w:val="28"/>
          <w:lang w:val="id"/>
        </w:rPr>
        <w:t>Areal tanaman karet pada fase belum menghasilkan memiliki ruang antar baris yang dapat dimanfaatkan untuk tanaman sela. Salah satu tanaman yang potensial sebagai tanaman sela adalah kedelai edamame yang diketahui memiliki nilai ekonomi tinggi. Pemenuhan hara bagi tanaman utama, dalam hal ini tanaman karet, maupun kedelai edamame sebagai tanaman sela dapat dilakukan melalui pemupukan. Penelitian efektivitas pupuk kandang dan pupuk buatan diketahui sudah dilakukan beberapa peneliti, namun pemupukan menggunakan Bioneensis masih jarang dilakuan.</w:t>
      </w:r>
    </w:p>
    <w:p w14:paraId="00A708F3" w14:textId="77777777" w:rsidR="00256E52" w:rsidRPr="00272110" w:rsidRDefault="00256E52" w:rsidP="00A753E5">
      <w:pPr>
        <w:rPr>
          <w:sz w:val="20"/>
          <w:szCs w:val="28"/>
          <w:lang w:val="id-ID"/>
        </w:rPr>
      </w:pPr>
    </w:p>
    <w:p w14:paraId="5976B957" w14:textId="4A507737" w:rsidR="00BD47CB" w:rsidRPr="00272110" w:rsidRDefault="00BD47CB" w:rsidP="00A753E5">
      <w:pPr>
        <w:rPr>
          <w:sz w:val="20"/>
          <w:szCs w:val="28"/>
          <w:lang w:val="id"/>
        </w:rPr>
      </w:pPr>
      <w:r w:rsidRPr="00272110">
        <w:rPr>
          <w:sz w:val="20"/>
          <w:szCs w:val="28"/>
          <w:lang w:val="id"/>
        </w:rPr>
        <w:t>Tumpang sari karet dengan tanaman semusim secara teknis menguntungkan pertumbuhan tanaman karet dan secara ekonomis mendukung peningkatan pendapatan usaha tani karet tujuan lainnya adalah memanfaatkan areal di gawangan karet, menambah penghasilan tiap satuan luas tanah, memberikan penghasilan sebelum tanaman karet menghasilkan</w:t>
      </w:r>
      <w:r w:rsidR="00281459" w:rsidRPr="00272110">
        <w:rPr>
          <w:sz w:val="20"/>
          <w:szCs w:val="28"/>
          <w:lang w:val="id"/>
        </w:rPr>
        <w:t>.</w:t>
      </w:r>
    </w:p>
    <w:p w14:paraId="46D466C9" w14:textId="77777777" w:rsidR="00281459" w:rsidRPr="00272110" w:rsidRDefault="00281459" w:rsidP="00A753E5">
      <w:pPr>
        <w:rPr>
          <w:sz w:val="20"/>
          <w:szCs w:val="28"/>
          <w:lang w:val="id"/>
        </w:rPr>
      </w:pPr>
    </w:p>
    <w:p w14:paraId="014468D3" w14:textId="5D77F6E6" w:rsidR="00281459" w:rsidRPr="00272110" w:rsidRDefault="00281459" w:rsidP="00A753E5">
      <w:pPr>
        <w:rPr>
          <w:sz w:val="20"/>
          <w:szCs w:val="28"/>
          <w:lang w:val="id"/>
        </w:rPr>
      </w:pPr>
      <w:r w:rsidRPr="00272110">
        <w:rPr>
          <w:sz w:val="20"/>
          <w:szCs w:val="28"/>
          <w:lang w:val="id"/>
        </w:rPr>
        <w:lastRenderedPageBreak/>
        <w:t>Menurut Permanasari dan Dody (2012), sistem tanam tumpangsari mempunyai banyak keuntungan yang tidak dimiliki pada pola tanam monocropping. Beberapa keuntungan pada pola tumpangsari antara lain: (1) akan terjadi peningkatan efisiensi (tenaga kerja, pemanfaatan lahan maupun penyerapan sinar matahari), (2) populasi tanaman dapat diatur sesuai yang dikehendaki, (3) dalam satu areal diperoleh produksi lebih dari satu komoditas, (4) tetap mempunyai peluang mendapatkan hasil manakala satu jenis tanaman yang diusahakan gagal dan (5) kombinasi beberapa jenis tanaman dapat menciptakan beberapa jenis tanaman dapat menciptakan stabilitas biologis sehingga dapat menekan serangan hama dan penyakit serta mempertahankan kelestarian sumber daya lahan dalam hal ini kesuburan tanah.</w:t>
      </w:r>
    </w:p>
    <w:p w14:paraId="0A51BBBD" w14:textId="7AE2B63A" w:rsidR="001F58ED" w:rsidRPr="00272110" w:rsidRDefault="00C70647" w:rsidP="002F21EA">
      <w:pPr>
        <w:pStyle w:val="Heading1"/>
        <w:numPr>
          <w:ilvl w:val="0"/>
          <w:numId w:val="0"/>
        </w:numPr>
        <w:ind w:hanging="360"/>
        <w:rPr>
          <w:szCs w:val="21"/>
        </w:rPr>
      </w:pPr>
      <w:r>
        <w:rPr>
          <w:szCs w:val="21"/>
        </w:rPr>
        <w:br/>
      </w:r>
      <w:r w:rsidR="001F58ED" w:rsidRPr="00272110">
        <w:rPr>
          <w:szCs w:val="21"/>
        </w:rPr>
        <w:t>TINJAUAN PUSTAKA</w:t>
      </w:r>
    </w:p>
    <w:p w14:paraId="5AA20369" w14:textId="4A97DFD4" w:rsidR="00703503" w:rsidRPr="00272110" w:rsidRDefault="00703503" w:rsidP="00405AE2">
      <w:pPr>
        <w:spacing w:before="120" w:after="120"/>
        <w:rPr>
          <w:rFonts w:eastAsiaTheme="majorEastAsia" w:cstheme="majorBidi"/>
          <w:bCs/>
          <w:sz w:val="20"/>
          <w:szCs w:val="20"/>
          <w:lang w:val="id"/>
        </w:rPr>
      </w:pPr>
      <w:r w:rsidRPr="00272110">
        <w:rPr>
          <w:rFonts w:eastAsiaTheme="majorEastAsia" w:cstheme="majorBidi"/>
          <w:bCs/>
          <w:sz w:val="20"/>
          <w:szCs w:val="20"/>
          <w:lang w:val="id"/>
        </w:rPr>
        <w:t xml:space="preserve">Tumpang sari </w:t>
      </w:r>
      <w:r w:rsidR="00E24013" w:rsidRPr="00272110">
        <w:rPr>
          <w:rFonts w:eastAsiaTheme="majorEastAsia" w:cstheme="majorBidi"/>
          <w:bCs/>
          <w:sz w:val="20"/>
          <w:szCs w:val="20"/>
          <w:lang w:val="id"/>
        </w:rPr>
        <w:t>merupakan</w:t>
      </w:r>
      <w:r w:rsidRPr="00272110">
        <w:rPr>
          <w:rFonts w:eastAsiaTheme="majorEastAsia" w:cstheme="majorBidi"/>
          <w:bCs/>
          <w:sz w:val="20"/>
          <w:szCs w:val="20"/>
          <w:lang w:val="id"/>
        </w:rPr>
        <w:t xml:space="preserve"> penanaman dua atau lebih jenis tanaman secara berdekatan pada lahan yang sama dan terdapat interaksi diantara tanaman tersebut. Sistem ini dilakukan untuk meningkatkan potensi lahan dan produksi hasil tanaman dan lebih produktif dibandingkan dengan sistem monokultur, terutama pada kondisi yang kurang baik serta menekan aktivitas hama dengan meningkatnya keanekaragaman tanaman pada pola pertanaman ini (Karyawati et al., 2010).</w:t>
      </w:r>
    </w:p>
    <w:p w14:paraId="13AC31A6" w14:textId="77777777" w:rsidR="00520D85" w:rsidRPr="00272110" w:rsidRDefault="00520D85" w:rsidP="00520D85">
      <w:pPr>
        <w:rPr>
          <w:rFonts w:eastAsiaTheme="majorEastAsia" w:cstheme="majorBidi"/>
          <w:bCs/>
          <w:sz w:val="20"/>
          <w:szCs w:val="20"/>
          <w:lang w:val="id"/>
        </w:rPr>
      </w:pPr>
    </w:p>
    <w:p w14:paraId="72B69E6E" w14:textId="19B01898" w:rsidR="00520D85" w:rsidRPr="00272110" w:rsidRDefault="00520D85" w:rsidP="00520D85">
      <w:pPr>
        <w:rPr>
          <w:rFonts w:eastAsiaTheme="majorEastAsia" w:cstheme="majorBidi"/>
          <w:bCs/>
          <w:sz w:val="20"/>
          <w:szCs w:val="20"/>
          <w:lang w:val="id"/>
        </w:rPr>
      </w:pPr>
      <w:r w:rsidRPr="00272110">
        <w:rPr>
          <w:rFonts w:eastAsiaTheme="majorEastAsia" w:cstheme="majorBidi"/>
          <w:bCs/>
          <w:sz w:val="20"/>
          <w:szCs w:val="20"/>
          <w:lang w:val="id"/>
        </w:rPr>
        <w:t>Salah satu metode baru yang dapat diterapkan dalam usaha untuk menunjang hasil tanaman tumpang sari kedelai edamame setiap panennya yaitu dengan penggunaan aplikasi konsorsium bakteri dalam budidaya tanaman tumpang sari kedelai edamame. Pemupukan sebagai salah satu input produksi tanaman menjadi faktor penentu dalam sistem budidaya tanaman. Peran pupuk sangat besar dalam proses perbaikan kesuburan fisik, kimia dan biologi tanah sehingga berpengaruh terhadap pertumbuhan dan produksi tanaman.</w:t>
      </w:r>
    </w:p>
    <w:p w14:paraId="196F59D9" w14:textId="77777777" w:rsidR="00520D85" w:rsidRPr="00272110" w:rsidRDefault="00520D85" w:rsidP="00520D85">
      <w:pPr>
        <w:rPr>
          <w:rFonts w:eastAsiaTheme="majorEastAsia" w:cstheme="majorBidi"/>
          <w:bCs/>
          <w:sz w:val="20"/>
          <w:szCs w:val="20"/>
          <w:lang w:val="id"/>
        </w:rPr>
      </w:pPr>
    </w:p>
    <w:p w14:paraId="6B712B15" w14:textId="24AF3216" w:rsidR="00520D85" w:rsidRPr="00272110" w:rsidRDefault="00520D85" w:rsidP="00703503">
      <w:pPr>
        <w:rPr>
          <w:rFonts w:eastAsiaTheme="majorEastAsia" w:cstheme="majorBidi"/>
          <w:bCs/>
          <w:sz w:val="20"/>
          <w:szCs w:val="20"/>
          <w:lang w:val="id"/>
        </w:rPr>
      </w:pPr>
      <w:r w:rsidRPr="00272110">
        <w:rPr>
          <w:rFonts w:eastAsiaTheme="majorEastAsia" w:cstheme="majorBidi"/>
          <w:bCs/>
          <w:sz w:val="20"/>
          <w:szCs w:val="20"/>
          <w:lang w:val="id"/>
        </w:rPr>
        <w:t xml:space="preserve">Bioneensis merupakan  formulasi  pupuk  hayati  dari  konsorsium bakteri </w:t>
      </w:r>
      <w:r w:rsidRPr="00272110">
        <w:rPr>
          <w:rFonts w:eastAsiaTheme="majorEastAsia" w:cstheme="majorBidi"/>
          <w:bCs/>
          <w:i/>
          <w:sz w:val="20"/>
          <w:szCs w:val="20"/>
          <w:lang w:val="id"/>
        </w:rPr>
        <w:t xml:space="preserve">indigenous </w:t>
      </w:r>
      <w:r w:rsidRPr="00272110">
        <w:rPr>
          <w:rFonts w:eastAsiaTheme="majorEastAsia" w:cstheme="majorBidi"/>
          <w:bCs/>
          <w:sz w:val="20"/>
          <w:szCs w:val="20"/>
          <w:lang w:val="id"/>
        </w:rPr>
        <w:t>di perakaran kelapa sawit (</w:t>
      </w:r>
      <w:r w:rsidRPr="00272110">
        <w:rPr>
          <w:rFonts w:eastAsiaTheme="majorEastAsia" w:cstheme="majorBidi"/>
          <w:bCs/>
          <w:i/>
          <w:sz w:val="20"/>
          <w:szCs w:val="20"/>
          <w:lang w:val="id"/>
        </w:rPr>
        <w:t>rizhosphere</w:t>
      </w:r>
      <w:r w:rsidRPr="00272110">
        <w:rPr>
          <w:rFonts w:eastAsiaTheme="majorEastAsia" w:cstheme="majorBidi"/>
          <w:bCs/>
          <w:sz w:val="20"/>
          <w:szCs w:val="20"/>
          <w:lang w:val="id"/>
        </w:rPr>
        <w:t>), mengandung lebih dari 10</w:t>
      </w:r>
      <w:r w:rsidRPr="00272110">
        <w:rPr>
          <w:rFonts w:eastAsiaTheme="majorEastAsia" w:cstheme="majorBidi"/>
          <w:bCs/>
          <w:sz w:val="20"/>
          <w:szCs w:val="20"/>
          <w:vertAlign w:val="superscript"/>
          <w:lang w:val="id"/>
        </w:rPr>
        <w:t>8</w:t>
      </w:r>
      <w:r w:rsidRPr="00272110">
        <w:rPr>
          <w:rFonts w:eastAsiaTheme="majorEastAsia" w:cstheme="majorBidi"/>
          <w:bCs/>
          <w:sz w:val="20"/>
          <w:szCs w:val="20"/>
          <w:lang w:val="id"/>
        </w:rPr>
        <w:t xml:space="preserve"> bakteri penambat N, pelarut P, dan penghasil IAA yang berfungsi sebagai </w:t>
      </w:r>
      <w:r w:rsidRPr="00272110">
        <w:rPr>
          <w:rFonts w:eastAsiaTheme="majorEastAsia" w:cstheme="majorBidi"/>
          <w:bCs/>
          <w:i/>
          <w:sz w:val="20"/>
          <w:szCs w:val="20"/>
          <w:lang w:val="id"/>
        </w:rPr>
        <w:t xml:space="preserve">plant growth promoting rhizobacteria </w:t>
      </w:r>
      <w:r w:rsidRPr="00272110">
        <w:rPr>
          <w:rFonts w:eastAsiaTheme="majorEastAsia" w:cstheme="majorBidi"/>
          <w:bCs/>
          <w:sz w:val="20"/>
          <w:szCs w:val="20"/>
          <w:lang w:val="id"/>
        </w:rPr>
        <w:t>(PGPR). Nugroho dan hidayah (2010) menyatakan konsorsium bakteri merupakan kumpulan dari sejumlah organisme yang sejenis sehingga membentuk suatu komunitas dari sejumlah populasi yang berbeda</w:t>
      </w:r>
      <w:r w:rsidR="00301EB8" w:rsidRPr="00272110">
        <w:rPr>
          <w:rFonts w:eastAsiaTheme="majorEastAsia" w:cstheme="majorBidi"/>
          <w:bCs/>
          <w:sz w:val="20"/>
          <w:szCs w:val="20"/>
          <w:lang w:val="id"/>
        </w:rPr>
        <w:t>.</w:t>
      </w:r>
    </w:p>
    <w:p w14:paraId="449C829E" w14:textId="77777777" w:rsidR="00301EB8" w:rsidRPr="00272110" w:rsidRDefault="00301EB8" w:rsidP="00703503">
      <w:pPr>
        <w:rPr>
          <w:rFonts w:eastAsiaTheme="majorEastAsia" w:cstheme="majorBidi"/>
          <w:bCs/>
          <w:sz w:val="20"/>
          <w:szCs w:val="20"/>
          <w:lang w:val="id"/>
        </w:rPr>
      </w:pPr>
    </w:p>
    <w:p w14:paraId="6195700D" w14:textId="2D77704B" w:rsidR="002925E1" w:rsidRPr="00272110" w:rsidRDefault="002925E1" w:rsidP="00703503">
      <w:pPr>
        <w:rPr>
          <w:rFonts w:eastAsiaTheme="majorEastAsia" w:cstheme="majorBidi"/>
          <w:bCs/>
          <w:sz w:val="20"/>
          <w:szCs w:val="20"/>
          <w:lang w:val="id"/>
        </w:rPr>
      </w:pPr>
      <w:r w:rsidRPr="00272110">
        <w:rPr>
          <w:rFonts w:eastAsiaTheme="majorEastAsia" w:cstheme="majorBidi"/>
          <w:bCs/>
          <w:sz w:val="20"/>
          <w:szCs w:val="20"/>
          <w:lang w:val="id"/>
        </w:rPr>
        <w:t>Beberapa manfaat aplikasi Bioneensis telah dibuktikan melalui hasil riset, di antaranya dapat meningkatkan penyerapan hara N dan P tanaman bawang dan bibit kelapa sawit, dapat meningkatkan bahan organik tanah hingga 80% dan populasi bakteri hingga 1000x lipat (meningkatkan kesehatan tanah), dan membuat pertumbuhan tanaman lebih baik dibandingkan penggunaan 100% pupuk anorganik. Bioneensis mengandung bakteri penambat nitrogen, bakteri pelarut fosfat, dan bakteri penghasil IAA yang mampu meningkatkan efisiensi pemupukan anorganik hingga 50%</w:t>
      </w:r>
      <w:r w:rsidR="00301EB8" w:rsidRPr="00272110">
        <w:rPr>
          <w:rFonts w:eastAsiaTheme="majorEastAsia" w:cstheme="majorBidi"/>
          <w:bCs/>
          <w:sz w:val="20"/>
          <w:szCs w:val="20"/>
          <w:lang w:val="id"/>
        </w:rPr>
        <w:t>.</w:t>
      </w:r>
      <w:r w:rsidR="00CD08E5">
        <w:rPr>
          <w:rFonts w:eastAsiaTheme="majorEastAsia" w:cstheme="majorBidi"/>
          <w:bCs/>
          <w:sz w:val="20"/>
          <w:szCs w:val="20"/>
          <w:lang w:val="id"/>
        </w:rPr>
        <w:t xml:space="preserve"> Hasil penelitian terdahulu menunjukkan </w:t>
      </w:r>
      <w:r w:rsidR="00CD08E5" w:rsidRPr="00CD08E5">
        <w:rPr>
          <w:rFonts w:eastAsiaTheme="majorEastAsia" w:cstheme="majorBidi"/>
          <w:bCs/>
          <w:sz w:val="20"/>
          <w:szCs w:val="20"/>
        </w:rPr>
        <w:t>bioneensis</w:t>
      </w:r>
      <w:r w:rsidR="00CD08E5">
        <w:rPr>
          <w:rFonts w:eastAsiaTheme="majorEastAsia" w:cstheme="majorBidi"/>
          <w:bCs/>
          <w:sz w:val="20"/>
          <w:szCs w:val="20"/>
        </w:rPr>
        <w:t xml:space="preserve"> yang diberikan dengan dosis bervariasi</w:t>
      </w:r>
      <w:r w:rsidR="00CD08E5" w:rsidRPr="00CD08E5">
        <w:rPr>
          <w:rFonts w:eastAsiaTheme="majorEastAsia" w:cstheme="majorBidi"/>
          <w:bCs/>
          <w:sz w:val="20"/>
          <w:szCs w:val="20"/>
        </w:rPr>
        <w:t xml:space="preserve"> </w:t>
      </w:r>
      <w:r w:rsidR="00CD08E5">
        <w:rPr>
          <w:rFonts w:eastAsiaTheme="majorEastAsia" w:cstheme="majorBidi"/>
          <w:bCs/>
          <w:sz w:val="20"/>
          <w:szCs w:val="20"/>
        </w:rPr>
        <w:t>mempengaruhi pertumbuhan</w:t>
      </w:r>
      <w:r w:rsidR="00CD08E5" w:rsidRPr="00CD08E5">
        <w:rPr>
          <w:rFonts w:eastAsiaTheme="majorEastAsia" w:cstheme="majorBidi"/>
          <w:bCs/>
          <w:sz w:val="20"/>
          <w:szCs w:val="20"/>
        </w:rPr>
        <w:t xml:space="preserve"> diamater batang pada 6 dan 8 minggu setelah tanam serta indeks luas daun yang diukur pada masa panen. </w:t>
      </w:r>
      <w:r w:rsidR="00CD08E5">
        <w:rPr>
          <w:rFonts w:eastAsiaTheme="majorEastAsia" w:cstheme="majorBidi"/>
          <w:bCs/>
          <w:sz w:val="20"/>
          <w:szCs w:val="20"/>
        </w:rPr>
        <w:t>Namun, D</w:t>
      </w:r>
      <w:r w:rsidR="00CD08E5" w:rsidRPr="00CD08E5">
        <w:rPr>
          <w:rFonts w:eastAsiaTheme="majorEastAsia" w:cstheme="majorBidi"/>
          <w:bCs/>
          <w:sz w:val="20"/>
          <w:szCs w:val="20"/>
        </w:rPr>
        <w:t>osis 2,5 Kg/m</w:t>
      </w:r>
      <w:r w:rsidR="00CD08E5" w:rsidRPr="00CD08E5">
        <w:rPr>
          <w:rFonts w:eastAsiaTheme="majorEastAsia" w:cstheme="majorBidi"/>
          <w:bCs/>
          <w:sz w:val="20"/>
          <w:szCs w:val="20"/>
          <w:vertAlign w:val="superscript"/>
        </w:rPr>
        <w:t>2</w:t>
      </w:r>
      <w:r w:rsidR="00CD08E5" w:rsidRPr="00CD08E5">
        <w:rPr>
          <w:rFonts w:eastAsiaTheme="majorEastAsia" w:cstheme="majorBidi"/>
          <w:bCs/>
          <w:sz w:val="20"/>
          <w:szCs w:val="20"/>
        </w:rPr>
        <w:t>, 5 Kg/m</w:t>
      </w:r>
      <w:r w:rsidR="00CD08E5" w:rsidRPr="00CD08E5">
        <w:rPr>
          <w:rFonts w:eastAsiaTheme="majorEastAsia" w:cstheme="majorBidi"/>
          <w:bCs/>
          <w:sz w:val="20"/>
          <w:szCs w:val="20"/>
          <w:vertAlign w:val="superscript"/>
        </w:rPr>
        <w:t>2</w:t>
      </w:r>
      <w:r w:rsidR="00CD08E5" w:rsidRPr="00CD08E5">
        <w:rPr>
          <w:rFonts w:eastAsiaTheme="majorEastAsia" w:cstheme="majorBidi"/>
          <w:bCs/>
          <w:sz w:val="20"/>
          <w:szCs w:val="20"/>
        </w:rPr>
        <w:t> dan 10 Kg/m</w:t>
      </w:r>
      <w:r w:rsidR="00CD08E5" w:rsidRPr="00CD08E5">
        <w:rPr>
          <w:rFonts w:eastAsiaTheme="majorEastAsia" w:cstheme="majorBidi"/>
          <w:bCs/>
          <w:sz w:val="20"/>
          <w:szCs w:val="20"/>
          <w:vertAlign w:val="superscript"/>
        </w:rPr>
        <w:t>2</w:t>
      </w:r>
      <w:r w:rsidR="00CD08E5" w:rsidRPr="00CD08E5">
        <w:rPr>
          <w:rFonts w:eastAsiaTheme="majorEastAsia" w:cstheme="majorBidi"/>
          <w:bCs/>
          <w:sz w:val="20"/>
          <w:szCs w:val="20"/>
        </w:rPr>
        <w:t> </w:t>
      </w:r>
      <w:r w:rsidR="00CD08E5">
        <w:rPr>
          <w:rFonts w:eastAsiaTheme="majorEastAsia" w:cstheme="majorBidi"/>
          <w:bCs/>
          <w:sz w:val="20"/>
          <w:szCs w:val="20"/>
        </w:rPr>
        <w:t xml:space="preserve">bioneensis </w:t>
      </w:r>
      <w:r w:rsidR="00CD08E5" w:rsidRPr="00CD08E5">
        <w:rPr>
          <w:rFonts w:eastAsiaTheme="majorEastAsia" w:cstheme="majorBidi"/>
          <w:bCs/>
          <w:sz w:val="20"/>
          <w:szCs w:val="20"/>
        </w:rPr>
        <w:t xml:space="preserve">tidak menunjukkan hasil yang berbeda nyata pada semua parameter, </w:t>
      </w:r>
      <w:r w:rsidR="00CD08E5">
        <w:rPr>
          <w:rFonts w:eastAsiaTheme="majorEastAsia" w:cstheme="majorBidi"/>
          <w:bCs/>
          <w:sz w:val="20"/>
          <w:szCs w:val="20"/>
        </w:rPr>
        <w:t xml:space="preserve">sehingga </w:t>
      </w:r>
      <w:r w:rsidR="00CD08E5" w:rsidRPr="00CD08E5">
        <w:rPr>
          <w:rFonts w:eastAsiaTheme="majorEastAsia" w:cstheme="majorBidi"/>
          <w:bCs/>
          <w:sz w:val="20"/>
          <w:szCs w:val="20"/>
        </w:rPr>
        <w:t>dianjurkan menggunakan dosis bioneensis 2,5 Kg/m</w:t>
      </w:r>
      <w:r w:rsidR="00CD08E5" w:rsidRPr="00CD08E5">
        <w:rPr>
          <w:rFonts w:eastAsiaTheme="majorEastAsia" w:cstheme="majorBidi"/>
          <w:bCs/>
          <w:sz w:val="20"/>
          <w:szCs w:val="20"/>
          <w:vertAlign w:val="superscript"/>
        </w:rPr>
        <w:t>2</w:t>
      </w:r>
      <w:r w:rsidR="00CD08E5" w:rsidRPr="00CD08E5">
        <w:rPr>
          <w:rFonts w:eastAsiaTheme="majorEastAsia" w:cstheme="majorBidi"/>
          <w:bCs/>
          <w:sz w:val="20"/>
          <w:szCs w:val="20"/>
        </w:rPr>
        <w:t> guna meningkatkan pertumbuhan edamame yang ditanam pada sela tanaman kare</w:t>
      </w:r>
      <w:r w:rsidR="00CD08E5">
        <w:rPr>
          <w:rFonts w:eastAsiaTheme="majorEastAsia" w:cstheme="majorBidi"/>
          <w:bCs/>
          <w:sz w:val="20"/>
          <w:szCs w:val="20"/>
        </w:rPr>
        <w:t>t</w:t>
      </w:r>
      <w:r w:rsidR="00956FA1">
        <w:rPr>
          <w:rFonts w:eastAsiaTheme="majorEastAsia" w:cstheme="majorBidi"/>
          <w:bCs/>
          <w:sz w:val="20"/>
          <w:szCs w:val="20"/>
        </w:rPr>
        <w:t xml:space="preserve"> </w:t>
      </w:r>
      <w:r w:rsidR="00683311">
        <w:rPr>
          <w:rFonts w:eastAsiaTheme="majorEastAsia" w:cstheme="majorBidi"/>
          <w:bCs/>
          <w:sz w:val="20"/>
          <w:szCs w:val="20"/>
        </w:rPr>
        <w:fldChar w:fldCharType="begin" w:fldLock="1"/>
      </w:r>
      <w:r w:rsidR="00683311">
        <w:rPr>
          <w:rFonts w:eastAsiaTheme="majorEastAsia" w:cstheme="majorBidi"/>
          <w:bCs/>
          <w:sz w:val="20"/>
          <w:szCs w:val="20"/>
        </w:rPr>
        <w:instrText>ADDIN CSL_CITATION {"citationItems":[{"id":"ITEM-1","itemData":{"DOI":"https://doi.org/10.56211/tabela.v3i1.758","author":[{"dropping-particle":"","family":"Sipayung","given":"Hanafi Harun","non-dropping-particle":"","parse-names":false,"suffix":""},{"dropping-particle":"","family":"Sukariawan","given":"Aries","non-dropping-particle":"","parse-names":false,"suffix":""},{"dropping-particle":"","family":"Rahutomo","given":"Suroso","non-dropping-particle":"","parse-names":false,"suffix":""}],"container-title":"TABELA Jurnal Pertanian Berkelanjutan","id":"ITEM-1","issue":"1","issued":{"date-parts":[["2025"]]},"page":"32-37","title":"Variasi Dosis Pupuk Bioneensis pada Tanaman Kedelai Edamame ( Glycine max ( L ) Merril ) yang Ditanam Secara Tumpang Sari di Areal Tanaman Karet","type":"article-journal","volume":"3"},"uris":["http://www.mendeley.com/documents/?uuid=039d024d-c587-480b-90e9-1ba736a10f3e"]}],"mendeley":{"formattedCitation":"(Sipayung, Sukariawan and Rahutomo, 2025)","plainTextFormattedCitation":"(Sipayung, Sukariawan and Rahutomo, 2025)","previouslyFormattedCitation":"(Sipayung, Sukariawan and Rahutomo, 2025)"},"properties":{"noteIndex":0},"schema":"https://github.com/citation-style-language/schema/raw/master/csl-citation.json"}</w:instrText>
      </w:r>
      <w:r w:rsidR="00683311">
        <w:rPr>
          <w:rFonts w:eastAsiaTheme="majorEastAsia" w:cstheme="majorBidi"/>
          <w:bCs/>
          <w:sz w:val="20"/>
          <w:szCs w:val="20"/>
        </w:rPr>
        <w:fldChar w:fldCharType="separate"/>
      </w:r>
      <w:r w:rsidR="00683311" w:rsidRPr="00683311">
        <w:rPr>
          <w:rFonts w:eastAsiaTheme="majorEastAsia" w:cstheme="majorBidi"/>
          <w:bCs/>
          <w:noProof/>
          <w:sz w:val="20"/>
          <w:szCs w:val="20"/>
        </w:rPr>
        <w:t>(Sipayung, Sukariawan and Rahutomo, 2025)</w:t>
      </w:r>
      <w:r w:rsidR="00683311">
        <w:rPr>
          <w:rFonts w:eastAsiaTheme="majorEastAsia" w:cstheme="majorBidi"/>
          <w:bCs/>
          <w:sz w:val="20"/>
          <w:szCs w:val="20"/>
        </w:rPr>
        <w:fldChar w:fldCharType="end"/>
      </w:r>
    </w:p>
    <w:p w14:paraId="285238E9" w14:textId="194063D5" w:rsidR="00282CB7" w:rsidRPr="00272110" w:rsidRDefault="007648F5" w:rsidP="000D24FA">
      <w:pPr>
        <w:pStyle w:val="Heading1"/>
        <w:numPr>
          <w:ilvl w:val="0"/>
          <w:numId w:val="0"/>
        </w:numPr>
        <w:rPr>
          <w:szCs w:val="21"/>
          <w:lang w:val="en-US"/>
        </w:rPr>
      </w:pPr>
      <w:r>
        <w:rPr>
          <w:szCs w:val="21"/>
          <w:lang w:val="en-US"/>
        </w:rPr>
        <w:br/>
      </w:r>
      <w:r w:rsidR="000F7B8A" w:rsidRPr="00272110">
        <w:rPr>
          <w:szCs w:val="21"/>
          <w:lang w:val="en-US"/>
        </w:rPr>
        <w:t>METODOLOGI</w:t>
      </w:r>
    </w:p>
    <w:p w14:paraId="0EBFC084" w14:textId="7F4098B5" w:rsidR="005D33C3" w:rsidRPr="00272110" w:rsidRDefault="002925E1" w:rsidP="005D33C3">
      <w:pPr>
        <w:rPr>
          <w:sz w:val="20"/>
          <w:szCs w:val="28"/>
          <w:lang w:val="id-ID"/>
        </w:rPr>
      </w:pPr>
      <w:r w:rsidRPr="00272110">
        <w:rPr>
          <w:sz w:val="20"/>
          <w:szCs w:val="28"/>
          <w:lang w:val="id"/>
        </w:rPr>
        <w:t>Penelitian ini dilaksanakan di areal TBM karet lahan percobaan kampus ITSI Medan dengan ketinggian ± 2,5 - 37,5 meter diatas permukaan laut</w:t>
      </w:r>
      <w:r w:rsidR="00663466" w:rsidRPr="00272110">
        <w:rPr>
          <w:sz w:val="20"/>
          <w:szCs w:val="28"/>
          <w:lang w:val="id"/>
        </w:rPr>
        <w:t>. Penelitian ini dilakukan pada bulan</w:t>
      </w:r>
      <w:r w:rsidRPr="00272110">
        <w:rPr>
          <w:sz w:val="20"/>
          <w:szCs w:val="28"/>
          <w:lang w:val="id"/>
        </w:rPr>
        <w:t xml:space="preserve"> </w:t>
      </w:r>
      <w:r w:rsidR="00F848A2" w:rsidRPr="00272110">
        <w:rPr>
          <w:sz w:val="20"/>
          <w:szCs w:val="28"/>
          <w:lang w:val="id"/>
        </w:rPr>
        <w:t>April</w:t>
      </w:r>
      <w:r w:rsidRPr="00272110">
        <w:rPr>
          <w:sz w:val="20"/>
          <w:szCs w:val="28"/>
          <w:lang w:val="id"/>
        </w:rPr>
        <w:t xml:space="preserve"> – Agustus 2022</w:t>
      </w:r>
      <w:r w:rsidR="005D33C3" w:rsidRPr="00272110">
        <w:rPr>
          <w:sz w:val="20"/>
          <w:szCs w:val="28"/>
          <w:lang w:val="id-ID"/>
        </w:rPr>
        <w:t xml:space="preserve">. </w:t>
      </w:r>
    </w:p>
    <w:p w14:paraId="18DE9514" w14:textId="77777777" w:rsidR="00893424" w:rsidRPr="00272110" w:rsidRDefault="00893424" w:rsidP="00D246F5">
      <w:pPr>
        <w:rPr>
          <w:sz w:val="20"/>
          <w:szCs w:val="28"/>
          <w:lang w:val="id"/>
        </w:rPr>
      </w:pPr>
    </w:p>
    <w:p w14:paraId="18E46C20" w14:textId="1FA40978" w:rsidR="002925E1" w:rsidRPr="00272110" w:rsidRDefault="002925E1" w:rsidP="00D246F5">
      <w:pPr>
        <w:rPr>
          <w:sz w:val="20"/>
          <w:szCs w:val="28"/>
          <w:lang w:val="id"/>
        </w:rPr>
      </w:pPr>
      <w:r w:rsidRPr="00272110">
        <w:rPr>
          <w:sz w:val="20"/>
          <w:szCs w:val="28"/>
          <w:lang w:val="id"/>
        </w:rPr>
        <w:t>Bahan</w:t>
      </w:r>
      <w:r w:rsidR="00D246F5" w:rsidRPr="00272110">
        <w:rPr>
          <w:sz w:val="20"/>
          <w:szCs w:val="28"/>
          <w:lang w:val="id"/>
        </w:rPr>
        <w:t xml:space="preserve"> dan Alat</w:t>
      </w:r>
      <w:r w:rsidRPr="00272110">
        <w:rPr>
          <w:sz w:val="20"/>
          <w:szCs w:val="28"/>
          <w:lang w:val="id"/>
        </w:rPr>
        <w:t xml:space="preserve"> yang digunakan pada penelitian ini adalah : Benih kedelai edamame varietas SM4 (PT. </w:t>
      </w:r>
      <w:r w:rsidR="00C82F63" w:rsidRPr="00272110">
        <w:rPr>
          <w:sz w:val="20"/>
          <w:szCs w:val="28"/>
          <w:lang w:val="id"/>
        </w:rPr>
        <w:t>Taruma</w:t>
      </w:r>
      <w:r w:rsidRPr="00272110">
        <w:rPr>
          <w:sz w:val="20"/>
          <w:szCs w:val="28"/>
          <w:lang w:val="id"/>
        </w:rPr>
        <w:t xml:space="preserve"> </w:t>
      </w:r>
      <w:r w:rsidR="00C82F63" w:rsidRPr="00272110">
        <w:rPr>
          <w:sz w:val="20"/>
          <w:szCs w:val="28"/>
          <w:lang w:val="id"/>
        </w:rPr>
        <w:t>Nusantara</w:t>
      </w:r>
      <w:r w:rsidRPr="00272110">
        <w:rPr>
          <w:sz w:val="20"/>
          <w:szCs w:val="28"/>
          <w:lang w:val="id"/>
        </w:rPr>
        <w:t>)</w:t>
      </w:r>
      <w:r w:rsidR="00D246F5" w:rsidRPr="00272110">
        <w:rPr>
          <w:sz w:val="20"/>
          <w:szCs w:val="28"/>
          <w:lang w:val="id"/>
        </w:rPr>
        <w:t>, p</w:t>
      </w:r>
      <w:r w:rsidRPr="00272110">
        <w:rPr>
          <w:sz w:val="20"/>
          <w:szCs w:val="28"/>
          <w:lang w:val="id"/>
        </w:rPr>
        <w:t>upuk konsorsium mikroba (Bioneensis)</w:t>
      </w:r>
      <w:r w:rsidR="00D246F5" w:rsidRPr="00272110">
        <w:rPr>
          <w:sz w:val="20"/>
          <w:szCs w:val="28"/>
          <w:lang w:val="id"/>
        </w:rPr>
        <w:t xml:space="preserve">, </w:t>
      </w:r>
      <w:r w:rsidR="005755A4" w:rsidRPr="00272110">
        <w:rPr>
          <w:sz w:val="20"/>
          <w:szCs w:val="28"/>
          <w:lang w:val="id"/>
        </w:rPr>
        <w:t>c</w:t>
      </w:r>
      <w:r w:rsidRPr="00272110">
        <w:rPr>
          <w:sz w:val="20"/>
          <w:szCs w:val="28"/>
          <w:lang w:val="id"/>
        </w:rPr>
        <w:t>angkul</w:t>
      </w:r>
      <w:r w:rsidR="00D246F5" w:rsidRPr="00272110">
        <w:rPr>
          <w:sz w:val="20"/>
          <w:szCs w:val="28"/>
          <w:lang w:val="id"/>
        </w:rPr>
        <w:t xml:space="preserve">, </w:t>
      </w:r>
      <w:r w:rsidR="005755A4" w:rsidRPr="00272110">
        <w:rPr>
          <w:sz w:val="20"/>
          <w:szCs w:val="28"/>
          <w:lang w:val="id"/>
        </w:rPr>
        <w:t>m</w:t>
      </w:r>
      <w:r w:rsidRPr="00272110">
        <w:rPr>
          <w:sz w:val="20"/>
          <w:szCs w:val="28"/>
          <w:lang w:val="id"/>
        </w:rPr>
        <w:t>eteran</w:t>
      </w:r>
      <w:r w:rsidR="00D246F5" w:rsidRPr="00272110">
        <w:rPr>
          <w:sz w:val="20"/>
          <w:szCs w:val="28"/>
          <w:lang w:val="id"/>
        </w:rPr>
        <w:t xml:space="preserve">, </w:t>
      </w:r>
      <w:r w:rsidR="005755A4" w:rsidRPr="00272110">
        <w:rPr>
          <w:sz w:val="20"/>
          <w:szCs w:val="28"/>
          <w:lang w:val="id"/>
        </w:rPr>
        <w:t>t</w:t>
      </w:r>
      <w:r w:rsidRPr="00272110">
        <w:rPr>
          <w:sz w:val="20"/>
          <w:szCs w:val="28"/>
          <w:lang w:val="id"/>
        </w:rPr>
        <w:t>imbangan digital</w:t>
      </w:r>
      <w:r w:rsidR="00D246F5" w:rsidRPr="00272110">
        <w:rPr>
          <w:sz w:val="20"/>
          <w:szCs w:val="28"/>
          <w:lang w:val="id"/>
        </w:rPr>
        <w:t xml:space="preserve">, </w:t>
      </w:r>
      <w:r w:rsidR="005755A4" w:rsidRPr="00272110">
        <w:rPr>
          <w:sz w:val="20"/>
          <w:szCs w:val="28"/>
          <w:lang w:val="id"/>
        </w:rPr>
        <w:t>j</w:t>
      </w:r>
      <w:r w:rsidRPr="00272110">
        <w:rPr>
          <w:sz w:val="20"/>
          <w:szCs w:val="28"/>
          <w:lang w:val="id"/>
        </w:rPr>
        <w:t>angka sorong</w:t>
      </w:r>
      <w:r w:rsidR="00D246F5" w:rsidRPr="00272110">
        <w:rPr>
          <w:sz w:val="20"/>
          <w:szCs w:val="28"/>
          <w:lang w:val="id"/>
        </w:rPr>
        <w:t xml:space="preserve">, </w:t>
      </w:r>
      <w:r w:rsidR="005755A4" w:rsidRPr="00272110">
        <w:rPr>
          <w:sz w:val="20"/>
          <w:szCs w:val="28"/>
          <w:lang w:val="id"/>
        </w:rPr>
        <w:t>g</w:t>
      </w:r>
      <w:r w:rsidRPr="00272110">
        <w:rPr>
          <w:sz w:val="20"/>
          <w:szCs w:val="28"/>
          <w:lang w:val="id"/>
        </w:rPr>
        <w:t>embor</w:t>
      </w:r>
      <w:r w:rsidR="00C82F63" w:rsidRPr="00272110">
        <w:rPr>
          <w:sz w:val="20"/>
          <w:szCs w:val="28"/>
          <w:lang w:val="id"/>
        </w:rPr>
        <w:t>.</w:t>
      </w:r>
    </w:p>
    <w:p w14:paraId="1EFF89A4" w14:textId="77777777" w:rsidR="002925E1" w:rsidRPr="00272110" w:rsidRDefault="002925E1" w:rsidP="005D33C3">
      <w:pPr>
        <w:rPr>
          <w:sz w:val="20"/>
          <w:szCs w:val="28"/>
          <w:lang w:val="id-ID"/>
        </w:rPr>
      </w:pPr>
    </w:p>
    <w:p w14:paraId="2A0AA04A" w14:textId="7DFD7D9C" w:rsidR="00B11859" w:rsidRPr="00272110" w:rsidRDefault="00D246F5" w:rsidP="00B11859">
      <w:pPr>
        <w:rPr>
          <w:sz w:val="20"/>
          <w:szCs w:val="28"/>
          <w:vertAlign w:val="superscript"/>
          <w:lang w:val="id"/>
        </w:rPr>
      </w:pPr>
      <w:r w:rsidRPr="00272110">
        <w:rPr>
          <w:sz w:val="20"/>
          <w:szCs w:val="28"/>
          <w:lang w:val="id"/>
        </w:rPr>
        <w:t>Rancangan yang digunakan dalam penelitian ini menggunakan Rancangan Acak Kelompok (RAK) Non faktorial, menguji perlakuan hayati konsorsium mikroba dengan 4 dosis perlakuan</w:t>
      </w:r>
      <w:r w:rsidR="00B46C2E" w:rsidRPr="00272110">
        <w:rPr>
          <w:sz w:val="20"/>
          <w:szCs w:val="28"/>
          <w:lang w:val="id"/>
        </w:rPr>
        <w:t xml:space="preserve"> yaitu</w:t>
      </w:r>
      <w:r w:rsidR="00B11859" w:rsidRPr="00272110">
        <w:rPr>
          <w:sz w:val="20"/>
          <w:szCs w:val="28"/>
          <w:lang w:val="id"/>
        </w:rPr>
        <w:t xml:space="preserve"> :</w:t>
      </w:r>
      <w:r w:rsidR="00B46C2E" w:rsidRPr="00272110">
        <w:rPr>
          <w:sz w:val="20"/>
          <w:szCs w:val="28"/>
          <w:lang w:val="id"/>
        </w:rPr>
        <w:t xml:space="preserve"> P0</w:t>
      </w:r>
      <w:r w:rsidR="00B11859" w:rsidRPr="00272110">
        <w:rPr>
          <w:sz w:val="20"/>
          <w:szCs w:val="28"/>
          <w:lang w:val="id"/>
        </w:rPr>
        <w:t xml:space="preserve"> (</w:t>
      </w:r>
      <w:r w:rsidR="00B46C2E" w:rsidRPr="00272110">
        <w:rPr>
          <w:sz w:val="20"/>
          <w:szCs w:val="28"/>
          <w:lang w:val="id"/>
        </w:rPr>
        <w:t>Tanpa menggunakan pupuk Bioneensis/tanpa pupuk standar edamame</w:t>
      </w:r>
      <w:r w:rsidR="00B11859" w:rsidRPr="00272110">
        <w:rPr>
          <w:sz w:val="20"/>
          <w:szCs w:val="28"/>
          <w:lang w:val="id"/>
        </w:rPr>
        <w:t>), P1 (2,5 kg Bioneensis/m</w:t>
      </w:r>
      <w:r w:rsidR="00B11859" w:rsidRPr="00272110">
        <w:rPr>
          <w:sz w:val="20"/>
          <w:szCs w:val="28"/>
          <w:vertAlign w:val="superscript"/>
          <w:lang w:val="id"/>
        </w:rPr>
        <w:t xml:space="preserve">2 </w:t>
      </w:r>
      <w:r w:rsidR="00B11859" w:rsidRPr="00272110">
        <w:rPr>
          <w:sz w:val="20"/>
          <w:szCs w:val="28"/>
          <w:lang w:val="id"/>
        </w:rPr>
        <w:t>), P2 (5 kg Bioneensis / m</w:t>
      </w:r>
      <w:r w:rsidR="00B11859" w:rsidRPr="00272110">
        <w:rPr>
          <w:sz w:val="20"/>
          <w:szCs w:val="28"/>
          <w:vertAlign w:val="superscript"/>
          <w:lang w:val="id"/>
        </w:rPr>
        <w:t xml:space="preserve">2  </w:t>
      </w:r>
      <w:r w:rsidR="00EE40D4" w:rsidRPr="00272110">
        <w:rPr>
          <w:sz w:val="20"/>
          <w:szCs w:val="28"/>
          <w:vertAlign w:val="superscript"/>
          <w:lang w:val="id"/>
        </w:rPr>
        <w:t xml:space="preserve"> </w:t>
      </w:r>
      <w:r w:rsidR="00B11859" w:rsidRPr="00272110">
        <w:rPr>
          <w:sz w:val="20"/>
          <w:szCs w:val="28"/>
          <w:lang w:val="id"/>
        </w:rPr>
        <w:t xml:space="preserve"> P3</w:t>
      </w:r>
      <w:r w:rsidR="000810F0" w:rsidRPr="00272110">
        <w:rPr>
          <w:sz w:val="20"/>
          <w:szCs w:val="28"/>
          <w:lang w:val="id"/>
        </w:rPr>
        <w:t xml:space="preserve"> (</w:t>
      </w:r>
      <w:r w:rsidR="00B11859" w:rsidRPr="00272110">
        <w:rPr>
          <w:sz w:val="20"/>
          <w:szCs w:val="28"/>
          <w:lang w:val="id"/>
        </w:rPr>
        <w:t>10 kg Bioneensis/m</w:t>
      </w:r>
      <w:r w:rsidR="00B11859" w:rsidRPr="00272110">
        <w:rPr>
          <w:sz w:val="20"/>
          <w:szCs w:val="28"/>
          <w:vertAlign w:val="superscript"/>
          <w:lang w:val="id"/>
        </w:rPr>
        <w:t>2</w:t>
      </w:r>
      <w:r w:rsidR="000810F0" w:rsidRPr="00272110">
        <w:rPr>
          <w:sz w:val="20"/>
          <w:szCs w:val="28"/>
          <w:vertAlign w:val="superscript"/>
          <w:lang w:val="id"/>
        </w:rPr>
        <w:t xml:space="preserve"> </w:t>
      </w:r>
    </w:p>
    <w:p w14:paraId="7EC3E790" w14:textId="351F23B9" w:rsidR="00B46C2E" w:rsidRPr="00272110" w:rsidRDefault="000810F0" w:rsidP="00B46C2E">
      <w:pPr>
        <w:rPr>
          <w:sz w:val="20"/>
          <w:szCs w:val="28"/>
          <w:lang w:val="id"/>
        </w:rPr>
      </w:pPr>
      <w:r w:rsidRPr="00272110">
        <w:rPr>
          <w:sz w:val="20"/>
          <w:szCs w:val="28"/>
          <w:lang w:val="id"/>
        </w:rPr>
        <w:t>Jumlah perlakuan</w:t>
      </w:r>
      <w:r w:rsidRPr="00272110">
        <w:rPr>
          <w:sz w:val="20"/>
          <w:szCs w:val="28"/>
          <w:lang w:val="id"/>
        </w:rPr>
        <w:tab/>
        <w:t xml:space="preserve"> adalah 4 perlakuan dengan jumlah ulangan </w:t>
      </w:r>
      <w:r w:rsidR="00EE40D4" w:rsidRPr="00272110">
        <w:rPr>
          <w:sz w:val="20"/>
          <w:szCs w:val="28"/>
          <w:lang w:val="id"/>
        </w:rPr>
        <w:t xml:space="preserve">sebanyak </w:t>
      </w:r>
      <w:r w:rsidRPr="00272110">
        <w:rPr>
          <w:sz w:val="20"/>
          <w:szCs w:val="28"/>
          <w:lang w:val="id"/>
        </w:rPr>
        <w:t>4 kali.</w:t>
      </w:r>
      <w:r w:rsidR="00D5751B" w:rsidRPr="00272110">
        <w:rPr>
          <w:sz w:val="20"/>
          <w:szCs w:val="28"/>
          <w:lang w:val="id"/>
        </w:rPr>
        <w:t xml:space="preserve"> Jumlah plot penelitian sebanyak 16 bedengan dengan ukuran bedengan</w:t>
      </w:r>
      <w:r w:rsidR="00D5751B" w:rsidRPr="00272110">
        <w:rPr>
          <w:sz w:val="20"/>
          <w:szCs w:val="28"/>
          <w:lang w:val="id"/>
        </w:rPr>
        <w:tab/>
        <w:t>adalah 1m x 1m = 1 m</w:t>
      </w:r>
      <w:r w:rsidR="00D5751B" w:rsidRPr="00272110">
        <w:rPr>
          <w:sz w:val="20"/>
          <w:szCs w:val="28"/>
          <w:vertAlign w:val="superscript"/>
          <w:lang w:val="id"/>
        </w:rPr>
        <w:t>2</w:t>
      </w:r>
      <w:r w:rsidR="00EE40D4" w:rsidRPr="00272110">
        <w:rPr>
          <w:sz w:val="20"/>
          <w:szCs w:val="28"/>
          <w:vertAlign w:val="superscript"/>
          <w:lang w:val="id"/>
        </w:rPr>
        <w:t xml:space="preserve">  </w:t>
      </w:r>
      <w:r w:rsidR="00EE40D4" w:rsidRPr="00272110">
        <w:rPr>
          <w:sz w:val="20"/>
          <w:szCs w:val="28"/>
          <w:lang w:val="id"/>
        </w:rPr>
        <w:t xml:space="preserve">Jarak tanam adalah 20 cm x 20 cm dan jarak antar bedengan adalah 50 cm. </w:t>
      </w:r>
      <w:r w:rsidR="00D5751B" w:rsidRPr="00272110">
        <w:rPr>
          <w:sz w:val="20"/>
          <w:szCs w:val="28"/>
          <w:lang w:val="id"/>
        </w:rPr>
        <w:t xml:space="preserve">Hasil pengamatan terhadap beberapa parameter dengan analisis sidik ragam (ANOVA) kemudian pada </w:t>
      </w:r>
      <w:r w:rsidR="00D5751B" w:rsidRPr="00272110">
        <w:rPr>
          <w:sz w:val="20"/>
          <w:szCs w:val="28"/>
          <w:lang w:val="id"/>
        </w:rPr>
        <w:lastRenderedPageBreak/>
        <w:t>parameter yang menunjukkan hasil berbeda nyata dilanjutkan dengan uji lanjut DMRT (</w:t>
      </w:r>
      <w:r w:rsidR="00D5751B" w:rsidRPr="00272110">
        <w:rPr>
          <w:i/>
          <w:sz w:val="20"/>
          <w:szCs w:val="28"/>
          <w:lang w:val="id"/>
        </w:rPr>
        <w:t xml:space="preserve">Duncan’s Mutiple Range Test </w:t>
      </w:r>
      <w:r w:rsidR="00D5751B" w:rsidRPr="00272110">
        <w:rPr>
          <w:sz w:val="20"/>
          <w:szCs w:val="28"/>
          <w:lang w:val="id"/>
        </w:rPr>
        <w:t>) dengan taraf 5%</w:t>
      </w:r>
      <w:r w:rsidR="009C235B" w:rsidRPr="00272110">
        <w:rPr>
          <w:sz w:val="20"/>
          <w:szCs w:val="28"/>
          <w:lang w:val="id"/>
        </w:rPr>
        <w:t>.</w:t>
      </w:r>
    </w:p>
    <w:p w14:paraId="1598974D" w14:textId="77777777" w:rsidR="0046152C" w:rsidRPr="00272110" w:rsidRDefault="0046152C" w:rsidP="001F042D">
      <w:pPr>
        <w:rPr>
          <w:sz w:val="20"/>
          <w:szCs w:val="28"/>
          <w:lang w:val="id"/>
        </w:rPr>
      </w:pPr>
    </w:p>
    <w:p w14:paraId="2AEA3B35" w14:textId="0040B871" w:rsidR="007B3BBF" w:rsidRPr="00272110" w:rsidRDefault="009C235B" w:rsidP="007B3BBF">
      <w:pPr>
        <w:rPr>
          <w:sz w:val="20"/>
          <w:szCs w:val="28"/>
          <w:lang w:val="id"/>
        </w:rPr>
      </w:pPr>
      <w:r w:rsidRPr="00272110">
        <w:rPr>
          <w:sz w:val="20"/>
          <w:szCs w:val="28"/>
          <w:lang w:val="id"/>
        </w:rPr>
        <w:t xml:space="preserve">Parameter Pengamatan terdiri dari : </w:t>
      </w:r>
      <w:r w:rsidR="008E6C95" w:rsidRPr="00272110">
        <w:rPr>
          <w:sz w:val="20"/>
          <w:szCs w:val="28"/>
          <w:lang w:val="id"/>
        </w:rPr>
        <w:t>1</w:t>
      </w:r>
      <w:r w:rsidR="001F042D" w:rsidRPr="00272110">
        <w:rPr>
          <w:sz w:val="20"/>
          <w:szCs w:val="28"/>
          <w:lang w:val="id"/>
        </w:rPr>
        <w:t>)</w:t>
      </w:r>
      <w:r w:rsidR="008E6C95" w:rsidRPr="00272110">
        <w:rPr>
          <w:sz w:val="20"/>
          <w:szCs w:val="28"/>
          <w:lang w:val="id"/>
        </w:rPr>
        <w:t xml:space="preserve"> </w:t>
      </w:r>
      <w:r w:rsidR="00893424" w:rsidRPr="00272110">
        <w:rPr>
          <w:sz w:val="20"/>
          <w:szCs w:val="28"/>
          <w:lang w:val="id"/>
        </w:rPr>
        <w:t>Jumlah biji per tanaman (</w:t>
      </w:r>
      <w:r w:rsidR="008E6C95" w:rsidRPr="00272110">
        <w:rPr>
          <w:sz w:val="20"/>
          <w:szCs w:val="28"/>
          <w:lang w:val="id"/>
        </w:rPr>
        <w:t>butir</w:t>
      </w:r>
      <w:r w:rsidR="00893424" w:rsidRPr="00272110">
        <w:rPr>
          <w:sz w:val="20"/>
          <w:szCs w:val="28"/>
          <w:lang w:val="id"/>
        </w:rPr>
        <w:t>), dihitung semua biji per</w:t>
      </w:r>
      <w:r w:rsidR="00D95E71" w:rsidRPr="00272110">
        <w:rPr>
          <w:sz w:val="20"/>
          <w:szCs w:val="28"/>
          <w:lang w:val="id"/>
        </w:rPr>
        <w:t xml:space="preserve"> </w:t>
      </w:r>
      <w:r w:rsidR="00893424" w:rsidRPr="00272110">
        <w:rPr>
          <w:sz w:val="20"/>
          <w:szCs w:val="28"/>
          <w:lang w:val="id"/>
        </w:rPr>
        <w:t>tanaman dengan manual pada saat panen</w:t>
      </w:r>
      <w:r w:rsidRPr="00272110">
        <w:rPr>
          <w:sz w:val="20"/>
          <w:szCs w:val="28"/>
          <w:lang w:val="id"/>
        </w:rPr>
        <w:t>.</w:t>
      </w:r>
      <w:r w:rsidR="008E6C95" w:rsidRPr="00272110">
        <w:rPr>
          <w:sz w:val="20"/>
          <w:szCs w:val="28"/>
          <w:lang w:val="id"/>
        </w:rPr>
        <w:t xml:space="preserve"> 2) Berat biji per</w:t>
      </w:r>
      <w:r w:rsidR="00D95E71" w:rsidRPr="00272110">
        <w:rPr>
          <w:sz w:val="20"/>
          <w:szCs w:val="28"/>
          <w:lang w:val="id"/>
        </w:rPr>
        <w:t xml:space="preserve"> </w:t>
      </w:r>
      <w:r w:rsidR="008E6C95" w:rsidRPr="00272110">
        <w:rPr>
          <w:sz w:val="20"/>
          <w:szCs w:val="28"/>
          <w:lang w:val="id"/>
        </w:rPr>
        <w:t xml:space="preserve">tanaman (g), dihitung semua </w:t>
      </w:r>
      <w:r w:rsidR="007B317F" w:rsidRPr="00272110">
        <w:rPr>
          <w:sz w:val="20"/>
          <w:szCs w:val="28"/>
          <w:lang w:val="id"/>
        </w:rPr>
        <w:t>berat</w:t>
      </w:r>
      <w:r w:rsidR="008E6C95" w:rsidRPr="00272110">
        <w:rPr>
          <w:sz w:val="20"/>
          <w:szCs w:val="28"/>
          <w:lang w:val="id"/>
        </w:rPr>
        <w:t xml:space="preserve"> </w:t>
      </w:r>
      <w:r w:rsidR="007B317F" w:rsidRPr="00272110">
        <w:rPr>
          <w:sz w:val="20"/>
          <w:szCs w:val="28"/>
          <w:lang w:val="id"/>
        </w:rPr>
        <w:t>biji</w:t>
      </w:r>
      <w:r w:rsidR="008E6C95" w:rsidRPr="00272110">
        <w:rPr>
          <w:sz w:val="20"/>
          <w:szCs w:val="28"/>
          <w:lang w:val="id"/>
        </w:rPr>
        <w:t xml:space="preserve"> pertanaman dilakukan pada saat tanaman panen</w:t>
      </w:r>
      <w:r w:rsidR="001F042D" w:rsidRPr="00272110">
        <w:rPr>
          <w:sz w:val="20"/>
          <w:szCs w:val="28"/>
          <w:lang w:val="id"/>
        </w:rPr>
        <w:t xml:space="preserve"> </w:t>
      </w:r>
      <w:r w:rsidR="007B317F" w:rsidRPr="00272110">
        <w:rPr>
          <w:sz w:val="20"/>
          <w:szCs w:val="28"/>
          <w:lang w:val="id"/>
        </w:rPr>
        <w:t xml:space="preserve">3) </w:t>
      </w:r>
      <w:r w:rsidR="008E6C95" w:rsidRPr="00272110">
        <w:rPr>
          <w:sz w:val="20"/>
          <w:szCs w:val="28"/>
          <w:lang w:val="id"/>
        </w:rPr>
        <w:t>Jumlah polong per</w:t>
      </w:r>
      <w:r w:rsidR="00E94472" w:rsidRPr="00272110">
        <w:rPr>
          <w:sz w:val="20"/>
          <w:szCs w:val="28"/>
          <w:lang w:val="id"/>
        </w:rPr>
        <w:t xml:space="preserve"> </w:t>
      </w:r>
      <w:r w:rsidR="008E6C95" w:rsidRPr="00272110">
        <w:rPr>
          <w:sz w:val="20"/>
          <w:szCs w:val="28"/>
          <w:lang w:val="id"/>
        </w:rPr>
        <w:t xml:space="preserve">tanaman (buah), dihitung semua jumlah polong isi pertanaman dilakukan pada saat tanaman panen </w:t>
      </w:r>
      <w:r w:rsidR="00E94472" w:rsidRPr="00272110">
        <w:rPr>
          <w:sz w:val="20"/>
          <w:szCs w:val="28"/>
          <w:lang w:val="id"/>
        </w:rPr>
        <w:t>4</w:t>
      </w:r>
      <w:r w:rsidR="001F042D" w:rsidRPr="00272110">
        <w:rPr>
          <w:sz w:val="20"/>
          <w:szCs w:val="28"/>
          <w:lang w:val="id"/>
        </w:rPr>
        <w:t>)</w:t>
      </w:r>
      <w:r w:rsidR="008E6C95" w:rsidRPr="00272110">
        <w:rPr>
          <w:sz w:val="20"/>
          <w:szCs w:val="28"/>
          <w:lang w:val="id"/>
        </w:rPr>
        <w:t xml:space="preserve"> </w:t>
      </w:r>
      <w:r w:rsidR="004D7A59" w:rsidRPr="00272110">
        <w:rPr>
          <w:sz w:val="20"/>
          <w:szCs w:val="28"/>
          <w:lang w:val="id"/>
        </w:rPr>
        <w:t>Berat polong isi Pertanaman (g)</w:t>
      </w:r>
      <w:r w:rsidR="00011D2B" w:rsidRPr="00272110">
        <w:rPr>
          <w:sz w:val="20"/>
          <w:szCs w:val="28"/>
          <w:lang w:val="id"/>
        </w:rPr>
        <w:t xml:space="preserve">, dihitung dengan menggunakan alat timbang pada masing-masing sampel tanaman pada saat setelah panen. </w:t>
      </w:r>
      <w:r w:rsidR="00E94472" w:rsidRPr="00272110">
        <w:rPr>
          <w:sz w:val="20"/>
          <w:szCs w:val="28"/>
          <w:lang w:val="id"/>
        </w:rPr>
        <w:t>5</w:t>
      </w:r>
      <w:r w:rsidR="00046DF5" w:rsidRPr="00272110">
        <w:rPr>
          <w:sz w:val="20"/>
          <w:szCs w:val="28"/>
          <w:lang w:val="id"/>
        </w:rPr>
        <w:t xml:space="preserve">) </w:t>
      </w:r>
      <w:r w:rsidR="00011D2B" w:rsidRPr="00272110">
        <w:rPr>
          <w:sz w:val="20"/>
          <w:szCs w:val="28"/>
          <w:lang w:val="id"/>
        </w:rPr>
        <w:t>Hasil perpetak (kg) dan perhektar (ton)</w:t>
      </w:r>
      <w:r w:rsidR="00046DF5" w:rsidRPr="00272110">
        <w:rPr>
          <w:sz w:val="20"/>
          <w:szCs w:val="28"/>
          <w:lang w:val="id"/>
        </w:rPr>
        <w:t xml:space="preserve">, </w:t>
      </w:r>
      <w:r w:rsidR="00011D2B" w:rsidRPr="00272110">
        <w:rPr>
          <w:sz w:val="20"/>
          <w:szCs w:val="28"/>
          <w:lang w:val="id"/>
        </w:rPr>
        <w:t xml:space="preserve">polong kedelai edamame yang telah dipanen ditimbang seluruhnya pada masing masing bedengan. </w:t>
      </w:r>
    </w:p>
    <w:p w14:paraId="19C40014" w14:textId="57E862FF" w:rsidR="00282CB7" w:rsidRPr="00272110" w:rsidRDefault="00786DA0" w:rsidP="000D24FA">
      <w:pPr>
        <w:pStyle w:val="Heading1"/>
        <w:numPr>
          <w:ilvl w:val="0"/>
          <w:numId w:val="0"/>
        </w:numPr>
        <w:rPr>
          <w:szCs w:val="21"/>
          <w:lang w:val="en-US"/>
        </w:rPr>
      </w:pPr>
      <w:bookmarkStart w:id="1" w:name="_bookmark21"/>
      <w:bookmarkEnd w:id="1"/>
      <w:r>
        <w:rPr>
          <w:szCs w:val="21"/>
          <w:lang w:val="en-US"/>
        </w:rPr>
        <w:br/>
      </w:r>
      <w:r w:rsidR="000430D4" w:rsidRPr="00272110">
        <w:rPr>
          <w:szCs w:val="21"/>
          <w:lang w:val="en-US"/>
        </w:rPr>
        <w:t>HASIL DAN PEMBAHASAN</w:t>
      </w:r>
    </w:p>
    <w:p w14:paraId="477BC57D" w14:textId="00D9BED8" w:rsidR="00BA11E6" w:rsidRPr="00272110" w:rsidRDefault="00BA11E6" w:rsidP="00BA11E6">
      <w:pPr>
        <w:rPr>
          <w:b/>
          <w:bCs/>
          <w:i/>
          <w:iCs/>
        </w:rPr>
      </w:pPr>
      <w:r w:rsidRPr="00272110">
        <w:rPr>
          <w:b/>
          <w:bCs/>
          <w:i/>
          <w:iCs/>
        </w:rPr>
        <w:t>Jumlah biji pertanaman, berat biji per tanaman, jumlah polong per tanaman dan berat polong per tanaman</w:t>
      </w:r>
    </w:p>
    <w:p w14:paraId="532289DF" w14:textId="77777777" w:rsidR="00BA11E6" w:rsidRPr="00272110" w:rsidRDefault="00BA11E6" w:rsidP="00BA11E6">
      <w:pPr>
        <w:rPr>
          <w:b/>
          <w:bCs/>
        </w:rPr>
      </w:pPr>
    </w:p>
    <w:p w14:paraId="3BA3FCB7" w14:textId="2D983ADD" w:rsidR="0026251E" w:rsidRPr="00272110" w:rsidRDefault="0026251E" w:rsidP="0026251E">
      <w:pPr>
        <w:rPr>
          <w:sz w:val="20"/>
          <w:szCs w:val="28"/>
          <w:lang w:val="id"/>
        </w:rPr>
      </w:pPr>
      <w:r w:rsidRPr="00272110">
        <w:rPr>
          <w:sz w:val="20"/>
          <w:szCs w:val="28"/>
          <w:lang w:val="id"/>
        </w:rPr>
        <w:t xml:space="preserve">Hasil penelitian terhadap parameter </w:t>
      </w:r>
      <w:r w:rsidR="001F698F" w:rsidRPr="00272110">
        <w:rPr>
          <w:sz w:val="20"/>
          <w:szCs w:val="28"/>
          <w:lang w:val="id"/>
        </w:rPr>
        <w:t xml:space="preserve">pengamatan yaitu </w:t>
      </w:r>
      <w:r w:rsidR="00E90426" w:rsidRPr="00272110">
        <w:rPr>
          <w:sz w:val="20"/>
          <w:szCs w:val="28"/>
          <w:lang w:val="id"/>
        </w:rPr>
        <w:t xml:space="preserve">jumlah </w:t>
      </w:r>
      <w:r w:rsidR="00131300" w:rsidRPr="00272110">
        <w:rPr>
          <w:sz w:val="20"/>
          <w:szCs w:val="28"/>
          <w:lang w:val="id"/>
        </w:rPr>
        <w:t>biji</w:t>
      </w:r>
      <w:r w:rsidR="00E90426" w:rsidRPr="00272110">
        <w:rPr>
          <w:sz w:val="20"/>
          <w:szCs w:val="28"/>
          <w:lang w:val="id"/>
        </w:rPr>
        <w:t xml:space="preserve"> pertanaman (</w:t>
      </w:r>
      <w:r w:rsidR="00131300" w:rsidRPr="00272110">
        <w:rPr>
          <w:sz w:val="20"/>
          <w:szCs w:val="28"/>
          <w:lang w:val="id"/>
        </w:rPr>
        <w:t>butir</w:t>
      </w:r>
      <w:r w:rsidR="00E90426" w:rsidRPr="00272110">
        <w:rPr>
          <w:sz w:val="20"/>
          <w:szCs w:val="28"/>
          <w:lang w:val="id"/>
        </w:rPr>
        <w:t>)</w:t>
      </w:r>
      <w:r w:rsidR="001F698F" w:rsidRPr="00272110">
        <w:rPr>
          <w:sz w:val="20"/>
          <w:szCs w:val="28"/>
          <w:lang w:val="id"/>
        </w:rPr>
        <w:t xml:space="preserve">, </w:t>
      </w:r>
      <w:r w:rsidR="00131300" w:rsidRPr="00272110">
        <w:rPr>
          <w:sz w:val="20"/>
          <w:szCs w:val="28"/>
          <w:lang w:val="id"/>
        </w:rPr>
        <w:t>berat</w:t>
      </w:r>
      <w:r w:rsidR="00E90426" w:rsidRPr="00272110">
        <w:rPr>
          <w:sz w:val="20"/>
          <w:szCs w:val="28"/>
          <w:lang w:val="id"/>
        </w:rPr>
        <w:t xml:space="preserve"> biji per tanaman (</w:t>
      </w:r>
      <w:r w:rsidR="00131300" w:rsidRPr="00272110">
        <w:rPr>
          <w:sz w:val="20"/>
          <w:szCs w:val="28"/>
          <w:lang w:val="id"/>
        </w:rPr>
        <w:t>g</w:t>
      </w:r>
      <w:r w:rsidR="00E90426" w:rsidRPr="00272110">
        <w:rPr>
          <w:sz w:val="20"/>
          <w:szCs w:val="28"/>
          <w:lang w:val="id"/>
        </w:rPr>
        <w:t>)</w:t>
      </w:r>
      <w:r w:rsidR="001F698F" w:rsidRPr="00272110">
        <w:rPr>
          <w:sz w:val="20"/>
          <w:szCs w:val="28"/>
          <w:lang w:val="id"/>
        </w:rPr>
        <w:t xml:space="preserve">, </w:t>
      </w:r>
      <w:r w:rsidR="00131300" w:rsidRPr="00272110">
        <w:rPr>
          <w:sz w:val="20"/>
          <w:szCs w:val="28"/>
          <w:lang w:val="id"/>
        </w:rPr>
        <w:t>jumlah</w:t>
      </w:r>
      <w:r w:rsidR="00E90426" w:rsidRPr="00272110">
        <w:rPr>
          <w:sz w:val="20"/>
          <w:szCs w:val="28"/>
          <w:lang w:val="id"/>
        </w:rPr>
        <w:t xml:space="preserve"> polong </w:t>
      </w:r>
      <w:r w:rsidR="00131300" w:rsidRPr="00272110">
        <w:rPr>
          <w:sz w:val="20"/>
          <w:szCs w:val="28"/>
          <w:lang w:val="id"/>
        </w:rPr>
        <w:t>p</w:t>
      </w:r>
      <w:r w:rsidR="00E90426" w:rsidRPr="00272110">
        <w:rPr>
          <w:sz w:val="20"/>
          <w:szCs w:val="28"/>
          <w:lang w:val="id"/>
        </w:rPr>
        <w:t>er</w:t>
      </w:r>
      <w:r w:rsidR="00131300" w:rsidRPr="00272110">
        <w:rPr>
          <w:sz w:val="20"/>
          <w:szCs w:val="28"/>
          <w:lang w:val="id"/>
        </w:rPr>
        <w:t xml:space="preserve"> </w:t>
      </w:r>
      <w:r w:rsidR="00E90426" w:rsidRPr="00272110">
        <w:rPr>
          <w:sz w:val="20"/>
          <w:szCs w:val="28"/>
          <w:lang w:val="id"/>
        </w:rPr>
        <w:t>tanaman (</w:t>
      </w:r>
      <w:r w:rsidR="00E94472" w:rsidRPr="00272110">
        <w:rPr>
          <w:sz w:val="20"/>
          <w:szCs w:val="28"/>
          <w:lang w:val="id"/>
        </w:rPr>
        <w:t>buah</w:t>
      </w:r>
      <w:r w:rsidR="00E90426" w:rsidRPr="00272110">
        <w:rPr>
          <w:sz w:val="20"/>
          <w:szCs w:val="28"/>
          <w:lang w:val="id"/>
        </w:rPr>
        <w:t xml:space="preserve">), </w:t>
      </w:r>
      <w:r w:rsidR="00131300" w:rsidRPr="00272110">
        <w:rPr>
          <w:sz w:val="20"/>
          <w:szCs w:val="28"/>
          <w:lang w:val="id"/>
        </w:rPr>
        <w:t xml:space="preserve">berat polong per tanaman, </w:t>
      </w:r>
      <w:r w:rsidR="00F36885" w:rsidRPr="00272110">
        <w:rPr>
          <w:sz w:val="20"/>
          <w:szCs w:val="28"/>
          <w:lang w:val="id"/>
        </w:rPr>
        <w:t xml:space="preserve">hasil perpetak (kg) dan </w:t>
      </w:r>
      <w:r w:rsidR="004D5EC4" w:rsidRPr="00272110">
        <w:rPr>
          <w:sz w:val="20"/>
          <w:szCs w:val="28"/>
          <w:lang w:val="id"/>
        </w:rPr>
        <w:t xml:space="preserve">produksi </w:t>
      </w:r>
      <w:r w:rsidR="00F36885" w:rsidRPr="00272110">
        <w:rPr>
          <w:sz w:val="20"/>
          <w:szCs w:val="28"/>
          <w:lang w:val="id"/>
        </w:rPr>
        <w:t>per</w:t>
      </w:r>
      <w:r w:rsidR="008932F9" w:rsidRPr="00272110">
        <w:rPr>
          <w:sz w:val="20"/>
          <w:szCs w:val="28"/>
          <w:lang w:val="id"/>
        </w:rPr>
        <w:t xml:space="preserve"> </w:t>
      </w:r>
      <w:r w:rsidR="00F36885" w:rsidRPr="00272110">
        <w:rPr>
          <w:sz w:val="20"/>
          <w:szCs w:val="28"/>
          <w:lang w:val="id"/>
        </w:rPr>
        <w:t>hektar (ton)</w:t>
      </w:r>
      <w:r w:rsidR="00D765A7" w:rsidRPr="00272110">
        <w:rPr>
          <w:sz w:val="20"/>
          <w:szCs w:val="28"/>
          <w:lang w:val="id"/>
        </w:rPr>
        <w:t xml:space="preserve"> </w:t>
      </w:r>
      <w:r w:rsidR="001F698F" w:rsidRPr="00272110">
        <w:rPr>
          <w:sz w:val="20"/>
          <w:szCs w:val="28"/>
          <w:lang w:val="id"/>
        </w:rPr>
        <w:t xml:space="preserve">adalah sebagai berikut : </w:t>
      </w:r>
    </w:p>
    <w:p w14:paraId="5B1B78C8" w14:textId="77777777" w:rsidR="00031B0D" w:rsidRPr="00272110" w:rsidRDefault="00031B0D" w:rsidP="0026251E">
      <w:pPr>
        <w:rPr>
          <w:sz w:val="20"/>
          <w:szCs w:val="28"/>
          <w:lang w:val="id"/>
        </w:rPr>
      </w:pPr>
    </w:p>
    <w:p w14:paraId="48D11E60" w14:textId="639C2347" w:rsidR="001F698F" w:rsidRPr="00272110" w:rsidRDefault="00031B0D" w:rsidP="0026251E">
      <w:pPr>
        <w:rPr>
          <w:sz w:val="20"/>
          <w:szCs w:val="28"/>
          <w:lang w:val="id"/>
        </w:rPr>
      </w:pPr>
      <w:r w:rsidRPr="00272110">
        <w:rPr>
          <w:sz w:val="20"/>
          <w:szCs w:val="28"/>
          <w:lang w:val="id"/>
        </w:rPr>
        <w:t>Hasil penelitian menunjukkan bahwa jumlah biji pertanaman, berat biji pertanaman dan jumlah polong pertanaman berbeda tidak nyata, sedangkan pada berat polong berbeda nyata perlakuan P0 dan P3 berbeda nyata, P0, P1, dan P2 berbeda tidak nyata. Hasil ini sejalan dengan penelitian Mufriah dan sulistiani (2020) bahwa pemberian pupuk konsorsium mikroba (bioneensis) tidak berpengaruh nyata terhadap berat biji dan berbanding lurus dengan jumlah biji pertanaman, berat biji pertanaman dan jumlah polong. Setiap polong biasanya berjumlah 1, 2 dan 3 biji, ukuran polong 5,5 cm sampai 6,5 cm bahkan bisa mencapai 8 cm (Pambudi, 2013). Ukuran polong yang bervariasi dalam setiap perlakuan menyebabkan hasil bervariasi.</w:t>
      </w:r>
      <w:r w:rsidR="00F87C88" w:rsidRPr="00272110">
        <w:rPr>
          <w:sz w:val="20"/>
          <w:szCs w:val="28"/>
          <w:lang w:val="id"/>
        </w:rPr>
        <w:t xml:space="preserve"> Rata-rata jumlah biji pertanaman, berat biji pertanaman, jumlah polong pertanaman, dan berat polong pertanaman dapat dilihat pada tabel 1 di bawah ini :</w:t>
      </w:r>
    </w:p>
    <w:p w14:paraId="46ABFB51" w14:textId="77777777" w:rsidR="00031B0D" w:rsidRPr="00272110" w:rsidRDefault="00031B0D" w:rsidP="001F698F">
      <w:pPr>
        <w:rPr>
          <w:sz w:val="20"/>
          <w:szCs w:val="28"/>
          <w:lang w:val="id"/>
        </w:rPr>
      </w:pPr>
    </w:p>
    <w:p w14:paraId="13CE82F7" w14:textId="0E3D4B0A" w:rsidR="005C7A45" w:rsidRPr="00272110" w:rsidRDefault="005C7A45" w:rsidP="002C73B5">
      <w:pPr>
        <w:jc w:val="center"/>
        <w:rPr>
          <w:sz w:val="20"/>
          <w:szCs w:val="28"/>
          <w:lang w:val="id"/>
        </w:rPr>
      </w:pPr>
      <w:r w:rsidRPr="00272110">
        <w:rPr>
          <w:sz w:val="20"/>
          <w:szCs w:val="28"/>
          <w:lang w:val="id"/>
        </w:rPr>
        <w:t xml:space="preserve">Tabel </w:t>
      </w:r>
      <w:r w:rsidR="006A5F5F" w:rsidRPr="00272110">
        <w:rPr>
          <w:sz w:val="20"/>
          <w:szCs w:val="28"/>
          <w:lang w:val="id"/>
        </w:rPr>
        <w:t>1.</w:t>
      </w:r>
      <w:r w:rsidRPr="00272110">
        <w:rPr>
          <w:sz w:val="20"/>
          <w:szCs w:val="28"/>
          <w:lang w:val="id"/>
        </w:rPr>
        <w:t xml:space="preserve"> </w:t>
      </w:r>
      <w:r w:rsidR="002C73B5" w:rsidRPr="00272110">
        <w:rPr>
          <w:sz w:val="20"/>
          <w:szCs w:val="28"/>
          <w:lang w:val="id"/>
        </w:rPr>
        <w:t xml:space="preserve">Jumlah Biji Pertanaman, Berat Biji Pertanaman, Jumlah Polong Pertanaman, </w:t>
      </w:r>
      <w:r w:rsidR="002C73B5">
        <w:rPr>
          <w:sz w:val="20"/>
          <w:szCs w:val="28"/>
          <w:lang w:val="id"/>
        </w:rPr>
        <w:t>d</w:t>
      </w:r>
      <w:r w:rsidR="002C73B5" w:rsidRPr="00272110">
        <w:rPr>
          <w:sz w:val="20"/>
          <w:szCs w:val="28"/>
          <w:lang w:val="id"/>
        </w:rPr>
        <w:t>an Berat Polong Pertanaman</w:t>
      </w:r>
    </w:p>
    <w:p w14:paraId="2401C393" w14:textId="77777777" w:rsidR="005C7A45" w:rsidRPr="00272110" w:rsidRDefault="005C7A45" w:rsidP="001F698F">
      <w:pPr>
        <w:rPr>
          <w:sz w:val="20"/>
          <w:szCs w:val="28"/>
          <w:lang w:val="id"/>
        </w:rPr>
      </w:pPr>
      <w:bookmarkStart w:id="2" w:name="_bookmark33"/>
      <w:bookmarkEnd w:id="2"/>
    </w:p>
    <w:tbl>
      <w:tblPr>
        <w:tblW w:w="0" w:type="auto"/>
        <w:tblInd w:w="992" w:type="dxa"/>
        <w:tblLayout w:type="fixed"/>
        <w:tblCellMar>
          <w:left w:w="0" w:type="dxa"/>
          <w:right w:w="0" w:type="dxa"/>
        </w:tblCellMar>
        <w:tblLook w:val="01E0" w:firstRow="1" w:lastRow="1" w:firstColumn="1" w:lastColumn="1" w:noHBand="0" w:noVBand="0"/>
      </w:tblPr>
      <w:tblGrid>
        <w:gridCol w:w="1638"/>
        <w:gridCol w:w="1398"/>
        <w:gridCol w:w="1400"/>
        <w:gridCol w:w="1652"/>
        <w:gridCol w:w="1495"/>
      </w:tblGrid>
      <w:tr w:rsidR="00272110" w:rsidRPr="00272110" w14:paraId="0DD0427D" w14:textId="77777777" w:rsidTr="00822959">
        <w:trPr>
          <w:trHeight w:val="289"/>
        </w:trPr>
        <w:tc>
          <w:tcPr>
            <w:tcW w:w="1638" w:type="dxa"/>
            <w:tcBorders>
              <w:top w:val="single" w:sz="8" w:space="0" w:color="000000"/>
            </w:tcBorders>
          </w:tcPr>
          <w:p w14:paraId="5C3908DD" w14:textId="77777777" w:rsidR="005C7A45" w:rsidRPr="00272110" w:rsidRDefault="005C7A45" w:rsidP="005C7A45">
            <w:pPr>
              <w:rPr>
                <w:sz w:val="20"/>
                <w:szCs w:val="28"/>
                <w:lang w:val="id"/>
              </w:rPr>
            </w:pPr>
          </w:p>
        </w:tc>
        <w:tc>
          <w:tcPr>
            <w:tcW w:w="1398" w:type="dxa"/>
            <w:tcBorders>
              <w:top w:val="single" w:sz="8" w:space="0" w:color="000000"/>
            </w:tcBorders>
          </w:tcPr>
          <w:p w14:paraId="1315F8A1" w14:textId="77777777" w:rsidR="005C7A45" w:rsidRPr="00272110" w:rsidRDefault="005C7A45" w:rsidP="005C7A45">
            <w:pPr>
              <w:rPr>
                <w:b/>
                <w:sz w:val="20"/>
                <w:szCs w:val="28"/>
                <w:lang w:val="id"/>
              </w:rPr>
            </w:pPr>
            <w:r w:rsidRPr="00272110">
              <w:rPr>
                <w:b/>
                <w:sz w:val="20"/>
                <w:szCs w:val="28"/>
                <w:lang w:val="id"/>
              </w:rPr>
              <w:t>Jumlah biji</w:t>
            </w:r>
          </w:p>
        </w:tc>
        <w:tc>
          <w:tcPr>
            <w:tcW w:w="1400" w:type="dxa"/>
            <w:tcBorders>
              <w:top w:val="single" w:sz="8" w:space="0" w:color="000000"/>
            </w:tcBorders>
          </w:tcPr>
          <w:p w14:paraId="4CEFF302" w14:textId="77777777" w:rsidR="005C7A45" w:rsidRPr="00272110" w:rsidRDefault="005C7A45" w:rsidP="005C7A45">
            <w:pPr>
              <w:rPr>
                <w:b/>
                <w:sz w:val="20"/>
                <w:szCs w:val="28"/>
                <w:lang w:val="id"/>
              </w:rPr>
            </w:pPr>
            <w:r w:rsidRPr="00272110">
              <w:rPr>
                <w:b/>
                <w:sz w:val="20"/>
                <w:szCs w:val="28"/>
                <w:lang w:val="id"/>
              </w:rPr>
              <w:t>Berat biji</w:t>
            </w:r>
          </w:p>
        </w:tc>
        <w:tc>
          <w:tcPr>
            <w:tcW w:w="1652" w:type="dxa"/>
            <w:tcBorders>
              <w:top w:val="single" w:sz="8" w:space="0" w:color="000000"/>
            </w:tcBorders>
          </w:tcPr>
          <w:p w14:paraId="2C4A683F" w14:textId="77777777" w:rsidR="005C7A45" w:rsidRPr="00272110" w:rsidRDefault="005C7A45" w:rsidP="005C7A45">
            <w:pPr>
              <w:rPr>
                <w:b/>
                <w:sz w:val="20"/>
                <w:szCs w:val="28"/>
                <w:lang w:val="id"/>
              </w:rPr>
            </w:pPr>
            <w:r w:rsidRPr="00272110">
              <w:rPr>
                <w:b/>
                <w:sz w:val="20"/>
                <w:szCs w:val="28"/>
                <w:lang w:val="id"/>
              </w:rPr>
              <w:t>Jumlah polong</w:t>
            </w:r>
          </w:p>
        </w:tc>
        <w:tc>
          <w:tcPr>
            <w:tcW w:w="1495" w:type="dxa"/>
            <w:tcBorders>
              <w:top w:val="single" w:sz="8" w:space="0" w:color="000000"/>
            </w:tcBorders>
          </w:tcPr>
          <w:p w14:paraId="3D8E0E88" w14:textId="77777777" w:rsidR="005C7A45" w:rsidRPr="00272110" w:rsidRDefault="005C7A45" w:rsidP="005C7A45">
            <w:pPr>
              <w:rPr>
                <w:b/>
                <w:sz w:val="20"/>
                <w:szCs w:val="28"/>
                <w:lang w:val="id"/>
              </w:rPr>
            </w:pPr>
            <w:r w:rsidRPr="00272110">
              <w:rPr>
                <w:b/>
                <w:sz w:val="20"/>
                <w:szCs w:val="28"/>
                <w:lang w:val="id"/>
              </w:rPr>
              <w:t>Berat polong</w:t>
            </w:r>
          </w:p>
        </w:tc>
      </w:tr>
      <w:tr w:rsidR="00272110" w:rsidRPr="00272110" w14:paraId="6837B2DC" w14:textId="77777777" w:rsidTr="00822959">
        <w:trPr>
          <w:trHeight w:val="508"/>
        </w:trPr>
        <w:tc>
          <w:tcPr>
            <w:tcW w:w="1638" w:type="dxa"/>
            <w:tcBorders>
              <w:bottom w:val="single" w:sz="8" w:space="0" w:color="000000"/>
            </w:tcBorders>
          </w:tcPr>
          <w:p w14:paraId="0993690A" w14:textId="77777777" w:rsidR="005C7A45" w:rsidRPr="00272110" w:rsidRDefault="005C7A45" w:rsidP="005C7A45">
            <w:pPr>
              <w:rPr>
                <w:b/>
                <w:sz w:val="20"/>
                <w:szCs w:val="28"/>
                <w:lang w:val="id"/>
              </w:rPr>
            </w:pPr>
            <w:r w:rsidRPr="00272110">
              <w:rPr>
                <w:b/>
                <w:sz w:val="20"/>
                <w:szCs w:val="28"/>
                <w:lang w:val="id"/>
              </w:rPr>
              <w:t>Perlakuan</w:t>
            </w:r>
          </w:p>
        </w:tc>
        <w:tc>
          <w:tcPr>
            <w:tcW w:w="1398" w:type="dxa"/>
            <w:tcBorders>
              <w:bottom w:val="single" w:sz="8" w:space="0" w:color="000000"/>
            </w:tcBorders>
          </w:tcPr>
          <w:p w14:paraId="77315DE0" w14:textId="77777777" w:rsidR="005C7A45" w:rsidRPr="00272110" w:rsidRDefault="005C7A45" w:rsidP="005C7A45">
            <w:pPr>
              <w:rPr>
                <w:b/>
                <w:sz w:val="20"/>
                <w:szCs w:val="28"/>
                <w:lang w:val="id"/>
              </w:rPr>
            </w:pPr>
            <w:r w:rsidRPr="00272110">
              <w:rPr>
                <w:b/>
                <w:sz w:val="20"/>
                <w:szCs w:val="28"/>
                <w:lang w:val="id"/>
              </w:rPr>
              <w:t>Pertanaman (butir)</w:t>
            </w:r>
          </w:p>
        </w:tc>
        <w:tc>
          <w:tcPr>
            <w:tcW w:w="1400" w:type="dxa"/>
            <w:tcBorders>
              <w:bottom w:val="single" w:sz="8" w:space="0" w:color="000000"/>
            </w:tcBorders>
          </w:tcPr>
          <w:p w14:paraId="3BEB51E3" w14:textId="77777777" w:rsidR="005C7A45" w:rsidRPr="00272110" w:rsidRDefault="005C7A45" w:rsidP="005C7A45">
            <w:pPr>
              <w:rPr>
                <w:b/>
                <w:sz w:val="20"/>
                <w:szCs w:val="28"/>
                <w:lang w:val="id"/>
              </w:rPr>
            </w:pPr>
            <w:r w:rsidRPr="00272110">
              <w:rPr>
                <w:b/>
                <w:sz w:val="20"/>
                <w:szCs w:val="28"/>
                <w:lang w:val="id"/>
              </w:rPr>
              <w:t>Pertanaman (g)</w:t>
            </w:r>
          </w:p>
        </w:tc>
        <w:tc>
          <w:tcPr>
            <w:tcW w:w="1652" w:type="dxa"/>
            <w:tcBorders>
              <w:bottom w:val="single" w:sz="8" w:space="0" w:color="000000"/>
            </w:tcBorders>
          </w:tcPr>
          <w:p w14:paraId="4DB14084" w14:textId="17E48236" w:rsidR="005C7A45" w:rsidRPr="00272110" w:rsidRDefault="005C7A45" w:rsidP="005C7A45">
            <w:pPr>
              <w:rPr>
                <w:b/>
                <w:sz w:val="20"/>
                <w:szCs w:val="28"/>
                <w:lang w:val="id"/>
              </w:rPr>
            </w:pPr>
            <w:r w:rsidRPr="00272110">
              <w:rPr>
                <w:b/>
                <w:sz w:val="20"/>
                <w:szCs w:val="28"/>
                <w:lang w:val="id"/>
              </w:rPr>
              <w:t>Pertanaman (</w:t>
            </w:r>
            <w:r w:rsidR="00B11CAC" w:rsidRPr="00272110">
              <w:rPr>
                <w:b/>
                <w:sz w:val="20"/>
                <w:szCs w:val="28"/>
                <w:lang w:val="id"/>
              </w:rPr>
              <w:t>buah</w:t>
            </w:r>
            <w:r w:rsidRPr="00272110">
              <w:rPr>
                <w:b/>
                <w:sz w:val="20"/>
                <w:szCs w:val="28"/>
                <w:lang w:val="id"/>
              </w:rPr>
              <w:t>)</w:t>
            </w:r>
          </w:p>
        </w:tc>
        <w:tc>
          <w:tcPr>
            <w:tcW w:w="1495" w:type="dxa"/>
            <w:tcBorders>
              <w:bottom w:val="single" w:sz="8" w:space="0" w:color="000000"/>
            </w:tcBorders>
          </w:tcPr>
          <w:p w14:paraId="2404D3A2" w14:textId="77777777" w:rsidR="005C7A45" w:rsidRPr="00272110" w:rsidRDefault="005C7A45" w:rsidP="005C7A45">
            <w:pPr>
              <w:rPr>
                <w:b/>
                <w:sz w:val="20"/>
                <w:szCs w:val="28"/>
                <w:lang w:val="id"/>
              </w:rPr>
            </w:pPr>
            <w:r w:rsidRPr="00272110">
              <w:rPr>
                <w:b/>
                <w:sz w:val="20"/>
                <w:szCs w:val="28"/>
                <w:lang w:val="id"/>
              </w:rPr>
              <w:t>Pertanaman (g)</w:t>
            </w:r>
          </w:p>
        </w:tc>
      </w:tr>
      <w:tr w:rsidR="00272110" w:rsidRPr="00272110" w14:paraId="4DF1AD97" w14:textId="77777777" w:rsidTr="00822959">
        <w:trPr>
          <w:trHeight w:val="310"/>
        </w:trPr>
        <w:tc>
          <w:tcPr>
            <w:tcW w:w="1638" w:type="dxa"/>
            <w:tcBorders>
              <w:top w:val="single" w:sz="8" w:space="0" w:color="000000"/>
            </w:tcBorders>
          </w:tcPr>
          <w:p w14:paraId="3BD586ED" w14:textId="77777777" w:rsidR="005C7A45" w:rsidRPr="00272110" w:rsidRDefault="005C7A45" w:rsidP="005C7A45">
            <w:pPr>
              <w:rPr>
                <w:sz w:val="20"/>
                <w:szCs w:val="28"/>
                <w:lang w:val="id"/>
              </w:rPr>
            </w:pPr>
            <w:r w:rsidRPr="00272110">
              <w:rPr>
                <w:sz w:val="20"/>
                <w:szCs w:val="28"/>
                <w:lang w:val="id"/>
              </w:rPr>
              <w:t>P0 (0 kg/m</w:t>
            </w:r>
            <w:r w:rsidRPr="00272110">
              <w:rPr>
                <w:sz w:val="20"/>
                <w:szCs w:val="28"/>
                <w:vertAlign w:val="superscript"/>
                <w:lang w:val="id"/>
              </w:rPr>
              <w:t>2</w:t>
            </w:r>
            <w:r w:rsidRPr="00272110">
              <w:rPr>
                <w:sz w:val="20"/>
                <w:szCs w:val="28"/>
                <w:lang w:val="id"/>
              </w:rPr>
              <w:t>)</w:t>
            </w:r>
          </w:p>
        </w:tc>
        <w:tc>
          <w:tcPr>
            <w:tcW w:w="1398" w:type="dxa"/>
            <w:tcBorders>
              <w:top w:val="single" w:sz="8" w:space="0" w:color="000000"/>
            </w:tcBorders>
          </w:tcPr>
          <w:p w14:paraId="09A6063F" w14:textId="77777777" w:rsidR="005C7A45" w:rsidRPr="00272110" w:rsidRDefault="005C7A45" w:rsidP="005C7A45">
            <w:pPr>
              <w:rPr>
                <w:sz w:val="20"/>
                <w:szCs w:val="28"/>
                <w:lang w:val="id"/>
              </w:rPr>
            </w:pPr>
            <w:r w:rsidRPr="00272110">
              <w:rPr>
                <w:sz w:val="20"/>
                <w:szCs w:val="28"/>
                <w:lang w:val="id"/>
              </w:rPr>
              <w:t>15.28a</w:t>
            </w:r>
          </w:p>
        </w:tc>
        <w:tc>
          <w:tcPr>
            <w:tcW w:w="1400" w:type="dxa"/>
            <w:tcBorders>
              <w:top w:val="single" w:sz="8" w:space="0" w:color="000000"/>
            </w:tcBorders>
          </w:tcPr>
          <w:p w14:paraId="414A51B0" w14:textId="77777777" w:rsidR="005C7A45" w:rsidRPr="00272110" w:rsidRDefault="005C7A45" w:rsidP="005C7A45">
            <w:pPr>
              <w:rPr>
                <w:sz w:val="20"/>
                <w:szCs w:val="28"/>
                <w:lang w:val="id"/>
              </w:rPr>
            </w:pPr>
            <w:r w:rsidRPr="00272110">
              <w:rPr>
                <w:sz w:val="20"/>
                <w:szCs w:val="28"/>
                <w:lang w:val="id"/>
              </w:rPr>
              <w:t>6.73a</w:t>
            </w:r>
          </w:p>
        </w:tc>
        <w:tc>
          <w:tcPr>
            <w:tcW w:w="1652" w:type="dxa"/>
            <w:tcBorders>
              <w:top w:val="single" w:sz="8" w:space="0" w:color="000000"/>
            </w:tcBorders>
          </w:tcPr>
          <w:p w14:paraId="5B2CAC9F" w14:textId="77777777" w:rsidR="005C7A45" w:rsidRPr="00272110" w:rsidRDefault="005C7A45" w:rsidP="005C7A45">
            <w:pPr>
              <w:rPr>
                <w:sz w:val="20"/>
                <w:szCs w:val="28"/>
                <w:lang w:val="id"/>
              </w:rPr>
            </w:pPr>
            <w:r w:rsidRPr="00272110">
              <w:rPr>
                <w:sz w:val="20"/>
                <w:szCs w:val="28"/>
                <w:lang w:val="id"/>
              </w:rPr>
              <w:t>9.53a</w:t>
            </w:r>
          </w:p>
        </w:tc>
        <w:tc>
          <w:tcPr>
            <w:tcW w:w="1495" w:type="dxa"/>
            <w:tcBorders>
              <w:top w:val="single" w:sz="8" w:space="0" w:color="000000"/>
            </w:tcBorders>
          </w:tcPr>
          <w:p w14:paraId="5BE727E0" w14:textId="77777777" w:rsidR="005C7A45" w:rsidRPr="00272110" w:rsidRDefault="005C7A45" w:rsidP="005C7A45">
            <w:pPr>
              <w:rPr>
                <w:sz w:val="20"/>
                <w:szCs w:val="28"/>
                <w:lang w:val="id"/>
              </w:rPr>
            </w:pPr>
            <w:r w:rsidRPr="00272110">
              <w:rPr>
                <w:sz w:val="20"/>
                <w:szCs w:val="28"/>
                <w:lang w:val="id"/>
              </w:rPr>
              <w:t>18.68a</w:t>
            </w:r>
          </w:p>
        </w:tc>
      </w:tr>
      <w:tr w:rsidR="00272110" w:rsidRPr="00272110" w14:paraId="72549F4E" w14:textId="77777777" w:rsidTr="00822959">
        <w:trPr>
          <w:trHeight w:val="316"/>
        </w:trPr>
        <w:tc>
          <w:tcPr>
            <w:tcW w:w="1638" w:type="dxa"/>
          </w:tcPr>
          <w:p w14:paraId="4B9D654D" w14:textId="77777777" w:rsidR="005C7A45" w:rsidRPr="00272110" w:rsidRDefault="005C7A45" w:rsidP="005C7A45">
            <w:pPr>
              <w:rPr>
                <w:sz w:val="20"/>
                <w:szCs w:val="28"/>
                <w:lang w:val="id"/>
              </w:rPr>
            </w:pPr>
            <w:r w:rsidRPr="00272110">
              <w:rPr>
                <w:sz w:val="20"/>
                <w:szCs w:val="28"/>
                <w:lang w:val="id"/>
              </w:rPr>
              <w:t>P1 (2,5 kg/m</w:t>
            </w:r>
            <w:r w:rsidRPr="00272110">
              <w:rPr>
                <w:sz w:val="20"/>
                <w:szCs w:val="28"/>
                <w:vertAlign w:val="superscript"/>
                <w:lang w:val="id"/>
              </w:rPr>
              <w:t>2</w:t>
            </w:r>
            <w:r w:rsidRPr="00272110">
              <w:rPr>
                <w:sz w:val="20"/>
                <w:szCs w:val="28"/>
                <w:lang w:val="id"/>
              </w:rPr>
              <w:t>)</w:t>
            </w:r>
          </w:p>
        </w:tc>
        <w:tc>
          <w:tcPr>
            <w:tcW w:w="1398" w:type="dxa"/>
          </w:tcPr>
          <w:p w14:paraId="704426F1" w14:textId="77777777" w:rsidR="005C7A45" w:rsidRPr="00272110" w:rsidRDefault="005C7A45" w:rsidP="005C7A45">
            <w:pPr>
              <w:rPr>
                <w:sz w:val="20"/>
                <w:szCs w:val="28"/>
                <w:lang w:val="id"/>
              </w:rPr>
            </w:pPr>
            <w:r w:rsidRPr="00272110">
              <w:rPr>
                <w:sz w:val="20"/>
                <w:szCs w:val="28"/>
                <w:lang w:val="id"/>
              </w:rPr>
              <w:t>19.23a</w:t>
            </w:r>
          </w:p>
        </w:tc>
        <w:tc>
          <w:tcPr>
            <w:tcW w:w="1400" w:type="dxa"/>
          </w:tcPr>
          <w:p w14:paraId="0196E1F1" w14:textId="77777777" w:rsidR="005C7A45" w:rsidRPr="00272110" w:rsidRDefault="005C7A45" w:rsidP="005C7A45">
            <w:pPr>
              <w:rPr>
                <w:sz w:val="20"/>
                <w:szCs w:val="28"/>
                <w:lang w:val="id"/>
              </w:rPr>
            </w:pPr>
            <w:r w:rsidRPr="00272110">
              <w:rPr>
                <w:sz w:val="20"/>
                <w:szCs w:val="28"/>
                <w:lang w:val="id"/>
              </w:rPr>
              <w:t>8.65a</w:t>
            </w:r>
          </w:p>
        </w:tc>
        <w:tc>
          <w:tcPr>
            <w:tcW w:w="1652" w:type="dxa"/>
          </w:tcPr>
          <w:p w14:paraId="14668DBB" w14:textId="77777777" w:rsidR="005C7A45" w:rsidRPr="00272110" w:rsidRDefault="005C7A45" w:rsidP="005C7A45">
            <w:pPr>
              <w:rPr>
                <w:sz w:val="20"/>
                <w:szCs w:val="28"/>
                <w:lang w:val="id"/>
              </w:rPr>
            </w:pPr>
            <w:r w:rsidRPr="00272110">
              <w:rPr>
                <w:sz w:val="20"/>
                <w:szCs w:val="28"/>
                <w:lang w:val="id"/>
              </w:rPr>
              <w:t>14.00a</w:t>
            </w:r>
          </w:p>
        </w:tc>
        <w:tc>
          <w:tcPr>
            <w:tcW w:w="1495" w:type="dxa"/>
          </w:tcPr>
          <w:p w14:paraId="3D57F4BC" w14:textId="77777777" w:rsidR="005C7A45" w:rsidRPr="00272110" w:rsidRDefault="005C7A45" w:rsidP="005C7A45">
            <w:pPr>
              <w:rPr>
                <w:sz w:val="20"/>
                <w:szCs w:val="28"/>
                <w:lang w:val="id"/>
              </w:rPr>
            </w:pPr>
            <w:r w:rsidRPr="00272110">
              <w:rPr>
                <w:sz w:val="20"/>
                <w:szCs w:val="28"/>
                <w:lang w:val="id"/>
              </w:rPr>
              <w:t>23.18abc</w:t>
            </w:r>
          </w:p>
        </w:tc>
      </w:tr>
      <w:tr w:rsidR="00272110" w:rsidRPr="00272110" w14:paraId="700C9494" w14:textId="77777777" w:rsidTr="00822959">
        <w:trPr>
          <w:trHeight w:val="320"/>
        </w:trPr>
        <w:tc>
          <w:tcPr>
            <w:tcW w:w="1638" w:type="dxa"/>
          </w:tcPr>
          <w:p w14:paraId="3370751D" w14:textId="77777777" w:rsidR="005C7A45" w:rsidRPr="00272110" w:rsidRDefault="005C7A45" w:rsidP="005C7A45">
            <w:pPr>
              <w:rPr>
                <w:sz w:val="20"/>
                <w:szCs w:val="28"/>
                <w:lang w:val="id"/>
              </w:rPr>
            </w:pPr>
            <w:r w:rsidRPr="00272110">
              <w:rPr>
                <w:sz w:val="20"/>
                <w:szCs w:val="28"/>
                <w:lang w:val="id"/>
              </w:rPr>
              <w:t>P2 (5 kg/m</w:t>
            </w:r>
            <w:r w:rsidRPr="00272110">
              <w:rPr>
                <w:sz w:val="20"/>
                <w:szCs w:val="28"/>
                <w:vertAlign w:val="superscript"/>
                <w:lang w:val="id"/>
              </w:rPr>
              <w:t>2</w:t>
            </w:r>
            <w:r w:rsidRPr="00272110">
              <w:rPr>
                <w:sz w:val="20"/>
                <w:szCs w:val="28"/>
                <w:lang w:val="id"/>
              </w:rPr>
              <w:t>)</w:t>
            </w:r>
          </w:p>
        </w:tc>
        <w:tc>
          <w:tcPr>
            <w:tcW w:w="1398" w:type="dxa"/>
          </w:tcPr>
          <w:p w14:paraId="7C49A416" w14:textId="77777777" w:rsidR="005C7A45" w:rsidRPr="00272110" w:rsidRDefault="005C7A45" w:rsidP="005C7A45">
            <w:pPr>
              <w:rPr>
                <w:sz w:val="20"/>
                <w:szCs w:val="28"/>
                <w:lang w:val="id"/>
              </w:rPr>
            </w:pPr>
            <w:r w:rsidRPr="00272110">
              <w:rPr>
                <w:sz w:val="20"/>
                <w:szCs w:val="28"/>
                <w:lang w:val="id"/>
              </w:rPr>
              <w:t>19.15a</w:t>
            </w:r>
          </w:p>
        </w:tc>
        <w:tc>
          <w:tcPr>
            <w:tcW w:w="1400" w:type="dxa"/>
          </w:tcPr>
          <w:p w14:paraId="3028D5EE" w14:textId="77777777" w:rsidR="005C7A45" w:rsidRPr="00272110" w:rsidRDefault="005C7A45" w:rsidP="005C7A45">
            <w:pPr>
              <w:rPr>
                <w:sz w:val="20"/>
                <w:szCs w:val="28"/>
                <w:lang w:val="id"/>
              </w:rPr>
            </w:pPr>
            <w:r w:rsidRPr="00272110">
              <w:rPr>
                <w:sz w:val="20"/>
                <w:szCs w:val="28"/>
                <w:lang w:val="id"/>
              </w:rPr>
              <w:t>6.93a</w:t>
            </w:r>
          </w:p>
        </w:tc>
        <w:tc>
          <w:tcPr>
            <w:tcW w:w="1652" w:type="dxa"/>
          </w:tcPr>
          <w:p w14:paraId="29A3E1B5" w14:textId="77777777" w:rsidR="005C7A45" w:rsidRPr="00272110" w:rsidRDefault="005C7A45" w:rsidP="005C7A45">
            <w:pPr>
              <w:rPr>
                <w:sz w:val="20"/>
                <w:szCs w:val="28"/>
                <w:lang w:val="id"/>
              </w:rPr>
            </w:pPr>
            <w:r w:rsidRPr="00272110">
              <w:rPr>
                <w:sz w:val="20"/>
                <w:szCs w:val="28"/>
                <w:lang w:val="id"/>
              </w:rPr>
              <w:t>10.83a</w:t>
            </w:r>
          </w:p>
        </w:tc>
        <w:tc>
          <w:tcPr>
            <w:tcW w:w="1495" w:type="dxa"/>
          </w:tcPr>
          <w:p w14:paraId="0F1692DB" w14:textId="77777777" w:rsidR="005C7A45" w:rsidRPr="00272110" w:rsidRDefault="005C7A45" w:rsidP="005C7A45">
            <w:pPr>
              <w:rPr>
                <w:sz w:val="20"/>
                <w:szCs w:val="28"/>
                <w:lang w:val="id"/>
              </w:rPr>
            </w:pPr>
            <w:r w:rsidRPr="00272110">
              <w:rPr>
                <w:sz w:val="20"/>
                <w:szCs w:val="28"/>
                <w:lang w:val="id"/>
              </w:rPr>
              <w:t>19.58ab</w:t>
            </w:r>
          </w:p>
        </w:tc>
      </w:tr>
      <w:tr w:rsidR="00272110" w:rsidRPr="00272110" w14:paraId="60F0DB8D" w14:textId="77777777" w:rsidTr="00822959">
        <w:trPr>
          <w:trHeight w:val="343"/>
        </w:trPr>
        <w:tc>
          <w:tcPr>
            <w:tcW w:w="1638" w:type="dxa"/>
            <w:tcBorders>
              <w:bottom w:val="single" w:sz="8" w:space="0" w:color="000000"/>
            </w:tcBorders>
          </w:tcPr>
          <w:p w14:paraId="2DACD45F" w14:textId="77777777" w:rsidR="005C7A45" w:rsidRPr="00272110" w:rsidRDefault="005C7A45" w:rsidP="005C7A45">
            <w:pPr>
              <w:rPr>
                <w:sz w:val="20"/>
                <w:szCs w:val="28"/>
                <w:lang w:val="id"/>
              </w:rPr>
            </w:pPr>
            <w:r w:rsidRPr="00272110">
              <w:rPr>
                <w:sz w:val="20"/>
                <w:szCs w:val="28"/>
                <w:lang w:val="id"/>
              </w:rPr>
              <w:t>P3 (10 kg/m</w:t>
            </w:r>
            <w:r w:rsidRPr="00272110">
              <w:rPr>
                <w:sz w:val="20"/>
                <w:szCs w:val="28"/>
                <w:vertAlign w:val="superscript"/>
                <w:lang w:val="id"/>
              </w:rPr>
              <w:t>2</w:t>
            </w:r>
            <w:r w:rsidRPr="00272110">
              <w:rPr>
                <w:sz w:val="20"/>
                <w:szCs w:val="28"/>
                <w:lang w:val="id"/>
              </w:rPr>
              <w:t>)</w:t>
            </w:r>
          </w:p>
        </w:tc>
        <w:tc>
          <w:tcPr>
            <w:tcW w:w="1398" w:type="dxa"/>
            <w:tcBorders>
              <w:bottom w:val="single" w:sz="8" w:space="0" w:color="000000"/>
            </w:tcBorders>
          </w:tcPr>
          <w:p w14:paraId="5A5C1BD9" w14:textId="77777777" w:rsidR="005C7A45" w:rsidRPr="00272110" w:rsidRDefault="005C7A45" w:rsidP="005C7A45">
            <w:pPr>
              <w:rPr>
                <w:sz w:val="20"/>
                <w:szCs w:val="28"/>
                <w:lang w:val="id"/>
              </w:rPr>
            </w:pPr>
            <w:r w:rsidRPr="00272110">
              <w:rPr>
                <w:sz w:val="20"/>
                <w:szCs w:val="28"/>
                <w:lang w:val="id"/>
              </w:rPr>
              <w:t>22.03a</w:t>
            </w:r>
          </w:p>
        </w:tc>
        <w:tc>
          <w:tcPr>
            <w:tcW w:w="1400" w:type="dxa"/>
            <w:tcBorders>
              <w:bottom w:val="single" w:sz="8" w:space="0" w:color="000000"/>
            </w:tcBorders>
          </w:tcPr>
          <w:p w14:paraId="1AA53DC9" w14:textId="77777777" w:rsidR="005C7A45" w:rsidRPr="00272110" w:rsidRDefault="005C7A45" w:rsidP="005C7A45">
            <w:pPr>
              <w:rPr>
                <w:sz w:val="20"/>
                <w:szCs w:val="28"/>
                <w:lang w:val="id"/>
              </w:rPr>
            </w:pPr>
            <w:r w:rsidRPr="00272110">
              <w:rPr>
                <w:sz w:val="20"/>
                <w:szCs w:val="28"/>
                <w:lang w:val="id"/>
              </w:rPr>
              <w:t>10.08a</w:t>
            </w:r>
          </w:p>
        </w:tc>
        <w:tc>
          <w:tcPr>
            <w:tcW w:w="1652" w:type="dxa"/>
            <w:tcBorders>
              <w:bottom w:val="single" w:sz="8" w:space="0" w:color="000000"/>
            </w:tcBorders>
          </w:tcPr>
          <w:p w14:paraId="503FF55A" w14:textId="77777777" w:rsidR="005C7A45" w:rsidRPr="00272110" w:rsidRDefault="005C7A45" w:rsidP="005C7A45">
            <w:pPr>
              <w:rPr>
                <w:sz w:val="20"/>
                <w:szCs w:val="28"/>
                <w:lang w:val="id"/>
              </w:rPr>
            </w:pPr>
            <w:r w:rsidRPr="00272110">
              <w:rPr>
                <w:sz w:val="20"/>
                <w:szCs w:val="28"/>
                <w:lang w:val="id"/>
              </w:rPr>
              <w:t>12.03a</w:t>
            </w:r>
          </w:p>
        </w:tc>
        <w:tc>
          <w:tcPr>
            <w:tcW w:w="1495" w:type="dxa"/>
            <w:tcBorders>
              <w:bottom w:val="single" w:sz="8" w:space="0" w:color="000000"/>
            </w:tcBorders>
          </w:tcPr>
          <w:p w14:paraId="40B4536A" w14:textId="77777777" w:rsidR="005C7A45" w:rsidRPr="00272110" w:rsidRDefault="005C7A45" w:rsidP="005C7A45">
            <w:pPr>
              <w:rPr>
                <w:sz w:val="20"/>
                <w:szCs w:val="28"/>
                <w:lang w:val="id"/>
              </w:rPr>
            </w:pPr>
            <w:r w:rsidRPr="00272110">
              <w:rPr>
                <w:sz w:val="20"/>
                <w:szCs w:val="28"/>
                <w:lang w:val="id"/>
              </w:rPr>
              <w:t>25.13c</w:t>
            </w:r>
          </w:p>
        </w:tc>
      </w:tr>
      <w:tr w:rsidR="005C7A45" w:rsidRPr="00272110" w14:paraId="64E07C05" w14:textId="77777777" w:rsidTr="00822959">
        <w:trPr>
          <w:trHeight w:val="292"/>
        </w:trPr>
        <w:tc>
          <w:tcPr>
            <w:tcW w:w="1638" w:type="dxa"/>
            <w:tcBorders>
              <w:top w:val="single" w:sz="8" w:space="0" w:color="000000"/>
              <w:bottom w:val="single" w:sz="8" w:space="0" w:color="000000"/>
            </w:tcBorders>
          </w:tcPr>
          <w:p w14:paraId="1323AC75" w14:textId="77777777" w:rsidR="005C7A45" w:rsidRPr="00272110" w:rsidRDefault="005C7A45" w:rsidP="005C7A45">
            <w:pPr>
              <w:rPr>
                <w:b/>
                <w:sz w:val="20"/>
                <w:szCs w:val="28"/>
                <w:lang w:val="id"/>
              </w:rPr>
            </w:pPr>
            <w:r w:rsidRPr="00272110">
              <w:rPr>
                <w:b/>
                <w:sz w:val="20"/>
                <w:szCs w:val="28"/>
                <w:lang w:val="id"/>
              </w:rPr>
              <w:t>DMRT 5%</w:t>
            </w:r>
          </w:p>
        </w:tc>
        <w:tc>
          <w:tcPr>
            <w:tcW w:w="1398" w:type="dxa"/>
            <w:tcBorders>
              <w:top w:val="single" w:sz="8" w:space="0" w:color="000000"/>
              <w:bottom w:val="single" w:sz="8" w:space="0" w:color="000000"/>
            </w:tcBorders>
          </w:tcPr>
          <w:p w14:paraId="5A9BBE1F" w14:textId="77777777" w:rsidR="005C7A45" w:rsidRPr="00272110" w:rsidRDefault="005C7A45" w:rsidP="005C7A45">
            <w:pPr>
              <w:rPr>
                <w:sz w:val="20"/>
                <w:szCs w:val="28"/>
                <w:lang w:val="id"/>
              </w:rPr>
            </w:pPr>
            <w:r w:rsidRPr="00272110">
              <w:rPr>
                <w:sz w:val="20"/>
                <w:szCs w:val="28"/>
                <w:lang w:val="id"/>
              </w:rPr>
              <w:t>tn</w:t>
            </w:r>
          </w:p>
        </w:tc>
        <w:tc>
          <w:tcPr>
            <w:tcW w:w="1400" w:type="dxa"/>
            <w:tcBorders>
              <w:top w:val="single" w:sz="8" w:space="0" w:color="000000"/>
              <w:bottom w:val="single" w:sz="8" w:space="0" w:color="000000"/>
            </w:tcBorders>
          </w:tcPr>
          <w:p w14:paraId="23D99F41" w14:textId="77777777" w:rsidR="005C7A45" w:rsidRPr="00272110" w:rsidRDefault="005C7A45" w:rsidP="005C7A45">
            <w:pPr>
              <w:rPr>
                <w:sz w:val="20"/>
                <w:szCs w:val="28"/>
                <w:lang w:val="id"/>
              </w:rPr>
            </w:pPr>
            <w:r w:rsidRPr="00272110">
              <w:rPr>
                <w:sz w:val="20"/>
                <w:szCs w:val="28"/>
                <w:lang w:val="id"/>
              </w:rPr>
              <w:t>tn</w:t>
            </w:r>
          </w:p>
        </w:tc>
        <w:tc>
          <w:tcPr>
            <w:tcW w:w="1652" w:type="dxa"/>
            <w:tcBorders>
              <w:top w:val="single" w:sz="8" w:space="0" w:color="000000"/>
              <w:bottom w:val="single" w:sz="8" w:space="0" w:color="000000"/>
            </w:tcBorders>
          </w:tcPr>
          <w:p w14:paraId="6EBF3AFB" w14:textId="77777777" w:rsidR="005C7A45" w:rsidRPr="00272110" w:rsidRDefault="005C7A45" w:rsidP="005C7A45">
            <w:pPr>
              <w:rPr>
                <w:sz w:val="20"/>
                <w:szCs w:val="28"/>
                <w:lang w:val="id"/>
              </w:rPr>
            </w:pPr>
            <w:r w:rsidRPr="00272110">
              <w:rPr>
                <w:sz w:val="20"/>
                <w:szCs w:val="28"/>
                <w:lang w:val="id"/>
              </w:rPr>
              <w:t>tn</w:t>
            </w:r>
          </w:p>
        </w:tc>
        <w:tc>
          <w:tcPr>
            <w:tcW w:w="1495" w:type="dxa"/>
            <w:tcBorders>
              <w:top w:val="single" w:sz="8" w:space="0" w:color="000000"/>
              <w:bottom w:val="single" w:sz="8" w:space="0" w:color="000000"/>
            </w:tcBorders>
          </w:tcPr>
          <w:p w14:paraId="39469C21" w14:textId="77777777" w:rsidR="005C7A45" w:rsidRPr="00272110" w:rsidRDefault="005C7A45" w:rsidP="005C7A45">
            <w:pPr>
              <w:rPr>
                <w:sz w:val="20"/>
                <w:szCs w:val="28"/>
                <w:lang w:val="id"/>
              </w:rPr>
            </w:pPr>
            <w:r w:rsidRPr="00272110">
              <w:rPr>
                <w:sz w:val="20"/>
                <w:szCs w:val="28"/>
                <w:lang w:val="id"/>
              </w:rPr>
              <w:t>*</w:t>
            </w:r>
          </w:p>
        </w:tc>
      </w:tr>
    </w:tbl>
    <w:p w14:paraId="4B2F73A0" w14:textId="77777777" w:rsidR="005C7A45" w:rsidRPr="00272110" w:rsidRDefault="005C7A45" w:rsidP="001F698F">
      <w:pPr>
        <w:rPr>
          <w:sz w:val="20"/>
          <w:szCs w:val="28"/>
          <w:lang w:val="id"/>
        </w:rPr>
      </w:pPr>
    </w:p>
    <w:p w14:paraId="24988F8F" w14:textId="3736B611" w:rsidR="001F698F" w:rsidRPr="00272110" w:rsidRDefault="001F698F" w:rsidP="001F698F">
      <w:pPr>
        <w:rPr>
          <w:sz w:val="20"/>
          <w:szCs w:val="28"/>
          <w:lang w:val="id"/>
        </w:rPr>
      </w:pPr>
      <w:r w:rsidRPr="00272110">
        <w:rPr>
          <w:sz w:val="20"/>
          <w:szCs w:val="28"/>
          <w:lang w:val="id"/>
        </w:rPr>
        <w:t xml:space="preserve">Keterangan: nilai pada kolom </w:t>
      </w:r>
      <w:r w:rsidR="009C52FA" w:rsidRPr="00272110">
        <w:rPr>
          <w:sz w:val="20"/>
          <w:szCs w:val="28"/>
          <w:lang w:val="id"/>
        </w:rPr>
        <w:t>dan</w:t>
      </w:r>
      <w:r w:rsidRPr="00272110">
        <w:rPr>
          <w:sz w:val="20"/>
          <w:szCs w:val="28"/>
          <w:lang w:val="id"/>
        </w:rPr>
        <w:t xml:space="preserve"> diikuti huruf yang sama menunjukkan berbeda tidak nyata berdasarkan uji DMRT </w:t>
      </w:r>
    </w:p>
    <w:p w14:paraId="0DE0F399" w14:textId="77777777" w:rsidR="001F698F" w:rsidRPr="00272110" w:rsidRDefault="001F698F" w:rsidP="001F698F">
      <w:pPr>
        <w:rPr>
          <w:lang w:val="id"/>
        </w:rPr>
      </w:pPr>
    </w:p>
    <w:p w14:paraId="63B6B6DF" w14:textId="1DAC0CB9" w:rsidR="00031B0D" w:rsidRPr="00272110" w:rsidRDefault="00031B0D" w:rsidP="00665931">
      <w:pPr>
        <w:rPr>
          <w:sz w:val="20"/>
          <w:szCs w:val="20"/>
          <w:lang w:val="id"/>
        </w:rPr>
      </w:pPr>
      <w:r w:rsidRPr="00272110">
        <w:rPr>
          <w:sz w:val="20"/>
          <w:szCs w:val="20"/>
          <w:lang w:val="id"/>
        </w:rPr>
        <w:t xml:space="preserve">Pada tabel 1 dapat dilihat bahwa perlakuan pupuk konsorsium mikroba P3(10 kg/m2) lebih tinggi nilai berat polong pertanaman dibandingkan dengan perlakuan lainnya. Namun perlakuan dosis pupuk yang lebih disarankan untuk dosis pupuk konsorsium mikroba pada hasil penelitian ini adalah perlakuan P1(2,5 kg/m2) karena hasil berat polong berbeda tidak signifikan terhadap hasil berat polong pertanaman. Dengan demikian perlakuan P1(2,5 kg/m2) dapat dikatakan perlakuan terbaik karena dilihat dari hasil berat polong pertanaman dari setiap perlakuan tidak berbeda nyata dan dari segi finansial jumlah pupuk perlakuan P1(2,5 kg/m2) lebih lebih sedikit dibandingkan dengan perlakuan P3(10 kg/m2) lebih banyak dan jika dikonversikan akan lebih banyak. </w:t>
      </w:r>
    </w:p>
    <w:p w14:paraId="288BAF5F" w14:textId="77777777" w:rsidR="00864389" w:rsidRPr="00272110" w:rsidRDefault="00864389" w:rsidP="00665931">
      <w:pPr>
        <w:rPr>
          <w:sz w:val="20"/>
          <w:szCs w:val="20"/>
          <w:lang w:val="id"/>
        </w:rPr>
      </w:pPr>
    </w:p>
    <w:p w14:paraId="65147B8C" w14:textId="08E43826" w:rsidR="001F698F" w:rsidRPr="00272110" w:rsidRDefault="00665931" w:rsidP="00665931">
      <w:pPr>
        <w:rPr>
          <w:sz w:val="20"/>
          <w:szCs w:val="20"/>
          <w:lang w:val="id"/>
        </w:rPr>
      </w:pPr>
      <w:r w:rsidRPr="00272110">
        <w:rPr>
          <w:sz w:val="20"/>
          <w:szCs w:val="20"/>
          <w:lang w:val="id"/>
        </w:rPr>
        <w:t>Pada tabel</w:t>
      </w:r>
      <w:r w:rsidR="00864389" w:rsidRPr="00272110">
        <w:rPr>
          <w:sz w:val="20"/>
          <w:szCs w:val="20"/>
          <w:lang w:val="id"/>
        </w:rPr>
        <w:t xml:space="preserve"> </w:t>
      </w:r>
      <w:r w:rsidR="00F31E71" w:rsidRPr="00272110">
        <w:rPr>
          <w:sz w:val="20"/>
          <w:szCs w:val="20"/>
          <w:lang w:val="id"/>
        </w:rPr>
        <w:t>1 juga</w:t>
      </w:r>
      <w:r w:rsidRPr="00272110">
        <w:rPr>
          <w:sz w:val="20"/>
          <w:szCs w:val="20"/>
          <w:lang w:val="id"/>
        </w:rPr>
        <w:t xml:space="preserve"> dapat dilihat bahwa semakin banyak dosis pupuk konsorsium yang di berikan maka hasil berat polong akan semakin berat. Berat polong berbeda nyata perlakuan P0 dan P3 berbeda nyata, P0, P1, dan P2 berbeda tidak nyata. Hasil tersebut sejalan dengan Mufriah dan sulistiani (2020) pada pemberian konsorsium mikroba berpeng</w:t>
      </w:r>
      <w:r w:rsidR="00F31E71" w:rsidRPr="00272110">
        <w:rPr>
          <w:sz w:val="20"/>
          <w:szCs w:val="20"/>
          <w:lang w:val="id"/>
        </w:rPr>
        <w:t>a</w:t>
      </w:r>
      <w:r w:rsidRPr="00272110">
        <w:rPr>
          <w:sz w:val="20"/>
          <w:szCs w:val="20"/>
          <w:lang w:val="id"/>
        </w:rPr>
        <w:t xml:space="preserve">ruh terhadap berat polong. </w:t>
      </w:r>
      <w:r w:rsidR="009D7DFD" w:rsidRPr="00272110">
        <w:rPr>
          <w:sz w:val="20"/>
          <w:szCs w:val="20"/>
          <w:lang w:val="id"/>
        </w:rPr>
        <w:t>H</w:t>
      </w:r>
      <w:r w:rsidRPr="00272110">
        <w:rPr>
          <w:sz w:val="20"/>
          <w:szCs w:val="20"/>
          <w:lang w:val="id"/>
        </w:rPr>
        <w:t>asil penelitian Jumini &amp; Hayati (2010)</w:t>
      </w:r>
      <w:r w:rsidR="009D7DFD" w:rsidRPr="00272110">
        <w:rPr>
          <w:sz w:val="20"/>
          <w:szCs w:val="20"/>
          <w:lang w:val="id"/>
        </w:rPr>
        <w:t xml:space="preserve"> menyatakan</w:t>
      </w:r>
      <w:r w:rsidRPr="00272110">
        <w:rPr>
          <w:sz w:val="20"/>
          <w:szCs w:val="20"/>
          <w:lang w:val="id"/>
        </w:rPr>
        <w:t xml:space="preserve"> bahwa aplikasi pupuk hayati yang mampu menambat unsur N berpengaruh pada jumlah polong. </w:t>
      </w:r>
      <w:r w:rsidR="009D7DFD" w:rsidRPr="00272110">
        <w:rPr>
          <w:sz w:val="20"/>
          <w:szCs w:val="20"/>
          <w:lang w:val="id"/>
        </w:rPr>
        <w:t>T</w:t>
      </w:r>
      <w:r w:rsidRPr="00272110">
        <w:rPr>
          <w:sz w:val="20"/>
          <w:szCs w:val="20"/>
          <w:lang w:val="id"/>
        </w:rPr>
        <w:t xml:space="preserve">ersedianya suplai N dari simbiosis antara bakteri rhizobium dengan tanaman </w:t>
      </w:r>
      <w:r w:rsidRPr="00272110">
        <w:rPr>
          <w:sz w:val="20"/>
          <w:szCs w:val="20"/>
          <w:lang w:val="id"/>
        </w:rPr>
        <w:lastRenderedPageBreak/>
        <w:t>kedelai mampu berpengaruh pada fase generatif tanaman terutama pembentukan polong dan simbiosis antara bakteri rhizobium dengan tanaman kedelai mampu berpengaruh pada fase pertumbuhan generatif tanaman terutama pembentukan polong.</w:t>
      </w:r>
      <w:r w:rsidR="008B4B7E" w:rsidRPr="00272110">
        <w:rPr>
          <w:sz w:val="20"/>
          <w:szCs w:val="20"/>
          <w:lang w:val="id"/>
        </w:rPr>
        <w:t xml:space="preserve"> </w:t>
      </w:r>
      <w:r w:rsidRPr="00272110">
        <w:rPr>
          <w:sz w:val="20"/>
          <w:szCs w:val="20"/>
          <w:lang w:val="id"/>
        </w:rPr>
        <w:t>Semakin banyak dosis yang diberikan maka semakin meningkatkan hasil berat polong pertanaman. peningkatan berat dari polong disebabkan karena sudah tercukupinya unsur hara yang dibutuhkan oleh tanaman (Ramadhani. dkk, 2016). Hal ini sependapat dengan Sahputra (201</w:t>
      </w:r>
      <w:r w:rsidR="003114C0" w:rsidRPr="00272110">
        <w:rPr>
          <w:sz w:val="20"/>
          <w:szCs w:val="20"/>
          <w:lang w:val="id"/>
        </w:rPr>
        <w:t>6</w:t>
      </w:r>
      <w:r w:rsidRPr="00272110">
        <w:rPr>
          <w:sz w:val="20"/>
          <w:szCs w:val="20"/>
          <w:lang w:val="id"/>
        </w:rPr>
        <w:t>) unsur hara yang cukup dirserap oleh tanaman, menyebabkan proses fotosintesis berjalan dengan baik sehingga tanaman menghasilkan fotosintat dan berpengaruh dalam pembentukan polong sehingga pertumbuhan j</w:t>
      </w:r>
      <w:r w:rsidR="008B4B7E" w:rsidRPr="00272110">
        <w:rPr>
          <w:sz w:val="20"/>
          <w:szCs w:val="20"/>
          <w:lang w:val="id"/>
        </w:rPr>
        <w:t>u</w:t>
      </w:r>
      <w:r w:rsidRPr="00272110">
        <w:rPr>
          <w:sz w:val="20"/>
          <w:szCs w:val="20"/>
          <w:lang w:val="id"/>
        </w:rPr>
        <w:t>mlah polong akan semkin meningkat.</w:t>
      </w:r>
      <w:r w:rsidR="008B4B7E" w:rsidRPr="00272110">
        <w:rPr>
          <w:sz w:val="20"/>
          <w:szCs w:val="20"/>
          <w:lang w:val="id"/>
        </w:rPr>
        <w:t xml:space="preserve"> </w:t>
      </w:r>
      <w:r w:rsidRPr="00272110">
        <w:rPr>
          <w:sz w:val="20"/>
          <w:szCs w:val="20"/>
          <w:lang w:val="id"/>
        </w:rPr>
        <w:t xml:space="preserve">Menurut Astari, dkk (2016) </w:t>
      </w:r>
      <w:r w:rsidR="008B4B7E" w:rsidRPr="00272110">
        <w:rPr>
          <w:sz w:val="20"/>
          <w:szCs w:val="20"/>
          <w:lang w:val="id"/>
        </w:rPr>
        <w:t xml:space="preserve">menyatakan </w:t>
      </w:r>
      <w:r w:rsidRPr="00272110">
        <w:rPr>
          <w:sz w:val="20"/>
          <w:szCs w:val="20"/>
          <w:lang w:val="id"/>
        </w:rPr>
        <w:t>bahwa perbedaan dari hasil polong kedelai edamame disebabkan karena kurangnya unsur hara yang diserap olah tanaman dan kurang t</w:t>
      </w:r>
      <w:r w:rsidR="008B4B7E" w:rsidRPr="00272110">
        <w:rPr>
          <w:sz w:val="20"/>
          <w:szCs w:val="20"/>
          <w:lang w:val="id"/>
        </w:rPr>
        <w:t>er</w:t>
      </w:r>
      <w:r w:rsidRPr="00272110">
        <w:rPr>
          <w:sz w:val="20"/>
          <w:szCs w:val="20"/>
          <w:lang w:val="id"/>
        </w:rPr>
        <w:t>sedia unsur hara di dalam tanah</w:t>
      </w:r>
      <w:r w:rsidR="008B4B7E" w:rsidRPr="00272110">
        <w:rPr>
          <w:sz w:val="20"/>
          <w:szCs w:val="20"/>
          <w:lang w:val="id"/>
        </w:rPr>
        <w:t>.</w:t>
      </w:r>
    </w:p>
    <w:p w14:paraId="406B684B" w14:textId="77777777" w:rsidR="00757047" w:rsidRPr="00272110" w:rsidRDefault="00757047" w:rsidP="00665931">
      <w:pPr>
        <w:rPr>
          <w:sz w:val="20"/>
          <w:szCs w:val="20"/>
          <w:lang w:val="id"/>
        </w:rPr>
      </w:pPr>
    </w:p>
    <w:p w14:paraId="23B237AD" w14:textId="69AE4C43" w:rsidR="008B4B7E" w:rsidRPr="00272110" w:rsidRDefault="00757047" w:rsidP="00665931">
      <w:pPr>
        <w:rPr>
          <w:b/>
          <w:bCs/>
          <w:i/>
          <w:iCs/>
          <w:sz w:val="20"/>
          <w:szCs w:val="20"/>
          <w:lang w:val="id"/>
        </w:rPr>
      </w:pPr>
      <w:r w:rsidRPr="00272110">
        <w:rPr>
          <w:b/>
          <w:bCs/>
          <w:i/>
          <w:iCs/>
          <w:sz w:val="20"/>
          <w:szCs w:val="20"/>
          <w:lang w:val="id"/>
        </w:rPr>
        <w:t xml:space="preserve">Hasil perpetak dan </w:t>
      </w:r>
      <w:r w:rsidR="00990602" w:rsidRPr="00272110">
        <w:rPr>
          <w:b/>
          <w:bCs/>
          <w:i/>
          <w:iCs/>
          <w:sz w:val="20"/>
          <w:szCs w:val="20"/>
          <w:lang w:val="id"/>
        </w:rPr>
        <w:t xml:space="preserve">produksi </w:t>
      </w:r>
      <w:r w:rsidRPr="00272110">
        <w:rPr>
          <w:b/>
          <w:bCs/>
          <w:i/>
          <w:iCs/>
          <w:sz w:val="20"/>
          <w:szCs w:val="20"/>
          <w:lang w:val="id"/>
        </w:rPr>
        <w:t xml:space="preserve">per hektar </w:t>
      </w:r>
    </w:p>
    <w:p w14:paraId="58DF1480" w14:textId="77777777" w:rsidR="008B4B7E" w:rsidRPr="00272110" w:rsidRDefault="008B4B7E" w:rsidP="00665931">
      <w:pPr>
        <w:rPr>
          <w:sz w:val="20"/>
          <w:szCs w:val="20"/>
          <w:lang w:val="id"/>
        </w:rPr>
      </w:pPr>
    </w:p>
    <w:p w14:paraId="7C6279A2" w14:textId="38EAD571" w:rsidR="00131300" w:rsidRPr="00272110" w:rsidRDefault="00131300" w:rsidP="00131300">
      <w:pPr>
        <w:rPr>
          <w:sz w:val="20"/>
          <w:szCs w:val="20"/>
          <w:lang w:val="id"/>
        </w:rPr>
      </w:pPr>
      <w:r w:rsidRPr="00272110">
        <w:rPr>
          <w:sz w:val="20"/>
          <w:szCs w:val="20"/>
          <w:lang w:val="id"/>
        </w:rPr>
        <w:t>Pengamatan hasil konversi perpetak dan hasil konversi perhektar menunjukan bahwa perlakuan dosis pupuk memberikan pengaruh terhadap parameter tersebut. Pengamatan hasil kedelai edamame dilakukan setelah panen, polong kedelai edamame ditimbang pada tiap petak percobaan sehingga didapat hasil kedelai edamame perpetak.</w:t>
      </w:r>
    </w:p>
    <w:p w14:paraId="7DF6D2B1" w14:textId="68F1A062" w:rsidR="00430B78" w:rsidRPr="00272110" w:rsidRDefault="00430B78" w:rsidP="001F698F">
      <w:pPr>
        <w:rPr>
          <w:sz w:val="20"/>
          <w:szCs w:val="20"/>
          <w:lang w:val="id"/>
        </w:rPr>
      </w:pPr>
    </w:p>
    <w:p w14:paraId="32F1EA5F" w14:textId="6D396739" w:rsidR="00131300" w:rsidRPr="00272110" w:rsidRDefault="00131300" w:rsidP="001F698F">
      <w:pPr>
        <w:rPr>
          <w:sz w:val="20"/>
          <w:szCs w:val="20"/>
          <w:lang w:val="id"/>
        </w:rPr>
      </w:pPr>
      <w:r w:rsidRPr="00272110">
        <w:rPr>
          <w:sz w:val="20"/>
          <w:szCs w:val="20"/>
          <w:lang w:val="id"/>
        </w:rPr>
        <w:t xml:space="preserve">Berdasarkan pengamatan pada saat penghitungan yang telah di konversi didapatkan hasil perpetak dan hasil perhektar dalam berbagai perlakuan pupuk Bioneensis yang telah di uji. Perlakuan pupuk bioneensis yang disarankan dari penelitian ini yaitu P1(2,5 kg/m2) dengan hasil koversi produksi ton/ha dengan nilai 5.81 ton/ha. Karena hasil rata-rata konversi produksi ton/ha berbeda tidak nyata dilihat dari segi hasil dan finansial untuk perlakuan P1 (2,5 kg/m2) lebih sedikit dibandingkan perlakuan P3 (10 kg/m2) hasil yang lebih tinggi dari semua perlakuan. Rata-rata hasil perpetak (kg) dan hasil perhektar (ton) dilihat pada Tabel </w:t>
      </w:r>
      <w:r w:rsidR="00B7010C" w:rsidRPr="00272110">
        <w:rPr>
          <w:sz w:val="20"/>
          <w:szCs w:val="20"/>
          <w:lang w:val="id"/>
        </w:rPr>
        <w:t>2</w:t>
      </w:r>
    </w:p>
    <w:p w14:paraId="32322B30" w14:textId="77777777" w:rsidR="00526CF1" w:rsidRPr="00272110" w:rsidRDefault="00526CF1" w:rsidP="001F698F">
      <w:pPr>
        <w:rPr>
          <w:sz w:val="20"/>
          <w:szCs w:val="20"/>
          <w:lang w:val="id"/>
        </w:rPr>
      </w:pPr>
    </w:p>
    <w:p w14:paraId="40BA3F24" w14:textId="7FEBCB04" w:rsidR="00131300" w:rsidRPr="00272110" w:rsidRDefault="00526CF1" w:rsidP="008F7DD9">
      <w:pPr>
        <w:jc w:val="center"/>
        <w:rPr>
          <w:sz w:val="20"/>
          <w:szCs w:val="20"/>
          <w:lang w:val="id"/>
        </w:rPr>
      </w:pPr>
      <w:r w:rsidRPr="00272110">
        <w:rPr>
          <w:sz w:val="20"/>
          <w:szCs w:val="20"/>
          <w:lang w:val="id"/>
        </w:rPr>
        <w:t xml:space="preserve">Tabel </w:t>
      </w:r>
      <w:r w:rsidR="006A5F5F" w:rsidRPr="00272110">
        <w:rPr>
          <w:sz w:val="20"/>
          <w:szCs w:val="20"/>
          <w:lang w:val="id"/>
        </w:rPr>
        <w:t>2. H</w:t>
      </w:r>
      <w:r w:rsidRPr="00272110">
        <w:rPr>
          <w:sz w:val="20"/>
          <w:szCs w:val="20"/>
          <w:lang w:val="id"/>
        </w:rPr>
        <w:t xml:space="preserve">asil </w:t>
      </w:r>
      <w:r w:rsidR="008F7DD9" w:rsidRPr="00272110">
        <w:rPr>
          <w:sz w:val="20"/>
          <w:szCs w:val="20"/>
          <w:lang w:val="id"/>
        </w:rPr>
        <w:t xml:space="preserve">Perpetak </w:t>
      </w:r>
      <w:r w:rsidRPr="00272110">
        <w:rPr>
          <w:sz w:val="20"/>
          <w:szCs w:val="20"/>
          <w:lang w:val="id"/>
        </w:rPr>
        <w:t xml:space="preserve">(kg) dan </w:t>
      </w:r>
      <w:r w:rsidR="008F7DD9" w:rsidRPr="00272110">
        <w:rPr>
          <w:sz w:val="20"/>
          <w:szCs w:val="20"/>
          <w:lang w:val="id"/>
        </w:rPr>
        <w:t xml:space="preserve">Konversi Produksi Perhektar </w:t>
      </w:r>
      <w:r w:rsidRPr="00272110">
        <w:rPr>
          <w:sz w:val="20"/>
          <w:szCs w:val="20"/>
          <w:lang w:val="id"/>
        </w:rPr>
        <w:t>(ton)</w:t>
      </w:r>
    </w:p>
    <w:tbl>
      <w:tblPr>
        <w:tblW w:w="0" w:type="auto"/>
        <w:tblInd w:w="992" w:type="dxa"/>
        <w:tblLayout w:type="fixed"/>
        <w:tblCellMar>
          <w:left w:w="0" w:type="dxa"/>
          <w:right w:w="0" w:type="dxa"/>
        </w:tblCellMar>
        <w:tblLook w:val="01E0" w:firstRow="1" w:lastRow="1" w:firstColumn="1" w:lastColumn="1" w:noHBand="0" w:noVBand="0"/>
      </w:tblPr>
      <w:tblGrid>
        <w:gridCol w:w="2231"/>
        <w:gridCol w:w="2691"/>
        <w:gridCol w:w="2608"/>
      </w:tblGrid>
      <w:tr w:rsidR="00272110" w:rsidRPr="00272110" w14:paraId="1C68E3D8" w14:textId="77777777" w:rsidTr="00822959">
        <w:trPr>
          <w:trHeight w:val="312"/>
        </w:trPr>
        <w:tc>
          <w:tcPr>
            <w:tcW w:w="2231" w:type="dxa"/>
            <w:tcBorders>
              <w:top w:val="single" w:sz="8" w:space="0" w:color="000000"/>
              <w:bottom w:val="single" w:sz="8" w:space="0" w:color="000000"/>
            </w:tcBorders>
          </w:tcPr>
          <w:p w14:paraId="3C5C53D5" w14:textId="77777777" w:rsidR="00131300" w:rsidRPr="00272110" w:rsidRDefault="00131300" w:rsidP="00822959">
            <w:pPr>
              <w:pStyle w:val="TableParagraph"/>
              <w:spacing w:before="34"/>
              <w:ind w:left="190" w:right="140"/>
              <w:rPr>
                <w:b/>
                <w:sz w:val="20"/>
                <w:szCs w:val="20"/>
              </w:rPr>
            </w:pPr>
            <w:r w:rsidRPr="00272110">
              <w:rPr>
                <w:b/>
                <w:spacing w:val="-2"/>
                <w:sz w:val="20"/>
                <w:szCs w:val="20"/>
              </w:rPr>
              <w:t>Perlakuan</w:t>
            </w:r>
          </w:p>
        </w:tc>
        <w:tc>
          <w:tcPr>
            <w:tcW w:w="2691" w:type="dxa"/>
            <w:tcBorders>
              <w:top w:val="single" w:sz="8" w:space="0" w:color="000000"/>
              <w:bottom w:val="single" w:sz="8" w:space="0" w:color="000000"/>
            </w:tcBorders>
          </w:tcPr>
          <w:p w14:paraId="3D08E76C" w14:textId="77777777" w:rsidR="00131300" w:rsidRPr="00272110" w:rsidRDefault="00131300" w:rsidP="00822959">
            <w:pPr>
              <w:pStyle w:val="TableParagraph"/>
              <w:spacing w:before="34"/>
              <w:ind w:left="5" w:right="72"/>
              <w:rPr>
                <w:b/>
                <w:sz w:val="20"/>
                <w:szCs w:val="20"/>
              </w:rPr>
            </w:pPr>
            <w:r w:rsidRPr="00272110">
              <w:rPr>
                <w:b/>
                <w:sz w:val="20"/>
                <w:szCs w:val="20"/>
              </w:rPr>
              <w:t>Hasil</w:t>
            </w:r>
            <w:r w:rsidRPr="00272110">
              <w:rPr>
                <w:b/>
                <w:spacing w:val="-5"/>
                <w:sz w:val="20"/>
                <w:szCs w:val="20"/>
              </w:rPr>
              <w:t xml:space="preserve"> </w:t>
            </w:r>
            <w:r w:rsidRPr="00272110">
              <w:rPr>
                <w:b/>
                <w:sz w:val="20"/>
                <w:szCs w:val="20"/>
              </w:rPr>
              <w:t>Perpetak</w:t>
            </w:r>
            <w:r w:rsidRPr="00272110">
              <w:rPr>
                <w:b/>
                <w:spacing w:val="-2"/>
                <w:sz w:val="20"/>
                <w:szCs w:val="20"/>
              </w:rPr>
              <w:t xml:space="preserve"> </w:t>
            </w:r>
            <w:r w:rsidRPr="00272110">
              <w:rPr>
                <w:b/>
                <w:spacing w:val="-4"/>
                <w:sz w:val="20"/>
                <w:szCs w:val="20"/>
              </w:rPr>
              <w:t>(kg)</w:t>
            </w:r>
          </w:p>
        </w:tc>
        <w:tc>
          <w:tcPr>
            <w:tcW w:w="2608" w:type="dxa"/>
            <w:tcBorders>
              <w:top w:val="single" w:sz="8" w:space="0" w:color="000000"/>
              <w:bottom w:val="single" w:sz="8" w:space="0" w:color="000000"/>
            </w:tcBorders>
          </w:tcPr>
          <w:p w14:paraId="19A2FA4C" w14:textId="77777777" w:rsidR="00131300" w:rsidRPr="00272110" w:rsidRDefault="00131300" w:rsidP="00822959">
            <w:pPr>
              <w:pStyle w:val="TableParagraph"/>
              <w:spacing w:before="71" w:line="233" w:lineRule="exact"/>
              <w:ind w:right="113"/>
              <w:rPr>
                <w:b/>
                <w:sz w:val="20"/>
                <w:szCs w:val="20"/>
              </w:rPr>
            </w:pPr>
            <w:r w:rsidRPr="00272110">
              <w:rPr>
                <w:b/>
                <w:sz w:val="20"/>
                <w:szCs w:val="20"/>
              </w:rPr>
              <w:t>Produksi</w:t>
            </w:r>
            <w:r w:rsidRPr="00272110">
              <w:rPr>
                <w:b/>
                <w:spacing w:val="-3"/>
                <w:sz w:val="20"/>
                <w:szCs w:val="20"/>
              </w:rPr>
              <w:t xml:space="preserve"> </w:t>
            </w:r>
            <w:r w:rsidRPr="00272110">
              <w:rPr>
                <w:b/>
                <w:sz w:val="20"/>
                <w:szCs w:val="20"/>
              </w:rPr>
              <w:t>ton/</w:t>
            </w:r>
            <w:r w:rsidRPr="00272110">
              <w:rPr>
                <w:b/>
                <w:spacing w:val="-1"/>
                <w:sz w:val="20"/>
                <w:szCs w:val="20"/>
              </w:rPr>
              <w:t xml:space="preserve"> </w:t>
            </w:r>
            <w:r w:rsidRPr="00272110">
              <w:rPr>
                <w:b/>
                <w:spacing w:val="-5"/>
                <w:sz w:val="20"/>
                <w:szCs w:val="20"/>
              </w:rPr>
              <w:t>ha</w:t>
            </w:r>
          </w:p>
        </w:tc>
      </w:tr>
      <w:tr w:rsidR="00272110" w:rsidRPr="00272110" w14:paraId="758A6FB2" w14:textId="77777777" w:rsidTr="00822959">
        <w:trPr>
          <w:trHeight w:val="319"/>
        </w:trPr>
        <w:tc>
          <w:tcPr>
            <w:tcW w:w="2231" w:type="dxa"/>
            <w:tcBorders>
              <w:top w:val="single" w:sz="8" w:space="0" w:color="000000"/>
            </w:tcBorders>
          </w:tcPr>
          <w:p w14:paraId="7EF98BB7" w14:textId="77777777" w:rsidR="00131300" w:rsidRPr="00272110" w:rsidRDefault="00131300" w:rsidP="00822959">
            <w:pPr>
              <w:pStyle w:val="TableParagraph"/>
              <w:spacing w:before="8"/>
              <w:ind w:left="52" w:right="192"/>
              <w:rPr>
                <w:sz w:val="20"/>
                <w:szCs w:val="20"/>
              </w:rPr>
            </w:pPr>
            <w:r w:rsidRPr="00272110">
              <w:rPr>
                <w:sz w:val="20"/>
                <w:szCs w:val="20"/>
              </w:rPr>
              <w:t>P0</w:t>
            </w:r>
            <w:r w:rsidRPr="00272110">
              <w:rPr>
                <w:spacing w:val="-4"/>
                <w:sz w:val="20"/>
                <w:szCs w:val="20"/>
              </w:rPr>
              <w:t xml:space="preserve"> </w:t>
            </w:r>
            <w:r w:rsidRPr="00272110">
              <w:rPr>
                <w:sz w:val="20"/>
                <w:szCs w:val="20"/>
              </w:rPr>
              <w:t>(0</w:t>
            </w:r>
            <w:r w:rsidRPr="00272110">
              <w:rPr>
                <w:spacing w:val="-1"/>
                <w:sz w:val="20"/>
                <w:szCs w:val="20"/>
              </w:rPr>
              <w:t xml:space="preserve"> </w:t>
            </w:r>
            <w:r w:rsidRPr="00272110">
              <w:rPr>
                <w:spacing w:val="-2"/>
                <w:sz w:val="20"/>
                <w:szCs w:val="20"/>
              </w:rPr>
              <w:t>kg/m</w:t>
            </w:r>
            <w:r w:rsidRPr="00272110">
              <w:rPr>
                <w:spacing w:val="-2"/>
                <w:sz w:val="20"/>
                <w:szCs w:val="20"/>
                <w:vertAlign w:val="superscript"/>
              </w:rPr>
              <w:t>2</w:t>
            </w:r>
            <w:r w:rsidRPr="00272110">
              <w:rPr>
                <w:spacing w:val="-2"/>
                <w:sz w:val="20"/>
                <w:szCs w:val="20"/>
              </w:rPr>
              <w:t>)</w:t>
            </w:r>
          </w:p>
        </w:tc>
        <w:tc>
          <w:tcPr>
            <w:tcW w:w="2691" w:type="dxa"/>
            <w:tcBorders>
              <w:top w:val="single" w:sz="8" w:space="0" w:color="000000"/>
            </w:tcBorders>
          </w:tcPr>
          <w:p w14:paraId="4671D8CD" w14:textId="77777777" w:rsidR="00131300" w:rsidRPr="00272110" w:rsidRDefault="00131300" w:rsidP="00822959">
            <w:pPr>
              <w:pStyle w:val="TableParagraph"/>
              <w:spacing w:before="35" w:line="252" w:lineRule="exact"/>
              <w:ind w:left="8" w:right="72"/>
              <w:rPr>
                <w:sz w:val="20"/>
                <w:szCs w:val="20"/>
              </w:rPr>
            </w:pPr>
            <w:r w:rsidRPr="00272110">
              <w:rPr>
                <w:spacing w:val="-2"/>
                <w:sz w:val="20"/>
                <w:szCs w:val="20"/>
              </w:rPr>
              <w:t>0.465a</w:t>
            </w:r>
          </w:p>
        </w:tc>
        <w:tc>
          <w:tcPr>
            <w:tcW w:w="2608" w:type="dxa"/>
            <w:tcBorders>
              <w:top w:val="single" w:sz="8" w:space="0" w:color="000000"/>
            </w:tcBorders>
          </w:tcPr>
          <w:p w14:paraId="18970AEA" w14:textId="77777777" w:rsidR="00131300" w:rsidRPr="00272110" w:rsidRDefault="00131300" w:rsidP="00822959">
            <w:pPr>
              <w:pStyle w:val="TableParagraph"/>
              <w:spacing w:before="71" w:line="216" w:lineRule="exact"/>
              <w:ind w:left="1" w:right="113"/>
              <w:rPr>
                <w:sz w:val="20"/>
                <w:szCs w:val="20"/>
              </w:rPr>
            </w:pPr>
            <w:r w:rsidRPr="00272110">
              <w:rPr>
                <w:spacing w:val="-2"/>
                <w:sz w:val="20"/>
                <w:szCs w:val="20"/>
              </w:rPr>
              <w:t>4.65a</w:t>
            </w:r>
          </w:p>
        </w:tc>
      </w:tr>
      <w:tr w:rsidR="00272110" w:rsidRPr="00272110" w14:paraId="109BC236" w14:textId="77777777" w:rsidTr="00822959">
        <w:trPr>
          <w:trHeight w:val="327"/>
        </w:trPr>
        <w:tc>
          <w:tcPr>
            <w:tcW w:w="2231" w:type="dxa"/>
          </w:tcPr>
          <w:p w14:paraId="5AEC04CF" w14:textId="77777777" w:rsidR="00131300" w:rsidRPr="00272110" w:rsidRDefault="00131300" w:rsidP="00822959">
            <w:pPr>
              <w:pStyle w:val="TableParagraph"/>
              <w:spacing w:before="25"/>
              <w:ind w:left="177" w:right="140"/>
              <w:rPr>
                <w:sz w:val="20"/>
                <w:szCs w:val="20"/>
              </w:rPr>
            </w:pPr>
            <w:r w:rsidRPr="00272110">
              <w:rPr>
                <w:sz w:val="20"/>
                <w:szCs w:val="20"/>
              </w:rPr>
              <w:t>P1</w:t>
            </w:r>
            <w:r w:rsidRPr="00272110">
              <w:rPr>
                <w:spacing w:val="-2"/>
                <w:sz w:val="20"/>
                <w:szCs w:val="20"/>
              </w:rPr>
              <w:t xml:space="preserve"> </w:t>
            </w:r>
            <w:r w:rsidRPr="00272110">
              <w:rPr>
                <w:sz w:val="20"/>
                <w:szCs w:val="20"/>
              </w:rPr>
              <w:t>(2,5</w:t>
            </w:r>
            <w:r w:rsidRPr="00272110">
              <w:rPr>
                <w:spacing w:val="-1"/>
                <w:sz w:val="20"/>
                <w:szCs w:val="20"/>
              </w:rPr>
              <w:t xml:space="preserve"> </w:t>
            </w:r>
            <w:r w:rsidRPr="00272110">
              <w:rPr>
                <w:spacing w:val="-2"/>
                <w:sz w:val="20"/>
                <w:szCs w:val="20"/>
              </w:rPr>
              <w:t>kg/m</w:t>
            </w:r>
            <w:r w:rsidRPr="00272110">
              <w:rPr>
                <w:spacing w:val="-2"/>
                <w:sz w:val="20"/>
                <w:szCs w:val="20"/>
                <w:vertAlign w:val="superscript"/>
              </w:rPr>
              <w:t>2</w:t>
            </w:r>
            <w:r w:rsidRPr="00272110">
              <w:rPr>
                <w:spacing w:val="-2"/>
                <w:sz w:val="20"/>
                <w:szCs w:val="20"/>
              </w:rPr>
              <w:t>)</w:t>
            </w:r>
          </w:p>
        </w:tc>
        <w:tc>
          <w:tcPr>
            <w:tcW w:w="2691" w:type="dxa"/>
          </w:tcPr>
          <w:p w14:paraId="2B8170DC" w14:textId="77777777" w:rsidR="00131300" w:rsidRPr="00272110" w:rsidRDefault="00131300" w:rsidP="00822959">
            <w:pPr>
              <w:pStyle w:val="TableParagraph"/>
              <w:spacing w:before="51"/>
              <w:ind w:left="5" w:right="72"/>
              <w:rPr>
                <w:sz w:val="20"/>
                <w:szCs w:val="20"/>
              </w:rPr>
            </w:pPr>
            <w:r w:rsidRPr="00272110">
              <w:rPr>
                <w:spacing w:val="-2"/>
                <w:sz w:val="20"/>
                <w:szCs w:val="20"/>
              </w:rPr>
              <w:t>0.581ab</w:t>
            </w:r>
          </w:p>
        </w:tc>
        <w:tc>
          <w:tcPr>
            <w:tcW w:w="2608" w:type="dxa"/>
          </w:tcPr>
          <w:p w14:paraId="1FD384D6" w14:textId="77777777" w:rsidR="00131300" w:rsidRPr="00272110" w:rsidRDefault="00131300" w:rsidP="00822959">
            <w:pPr>
              <w:pStyle w:val="TableParagraph"/>
              <w:spacing w:before="87" w:line="219" w:lineRule="exact"/>
              <w:ind w:left="5" w:right="113"/>
              <w:rPr>
                <w:sz w:val="20"/>
                <w:szCs w:val="20"/>
              </w:rPr>
            </w:pPr>
            <w:r w:rsidRPr="00272110">
              <w:rPr>
                <w:spacing w:val="-2"/>
                <w:sz w:val="20"/>
                <w:szCs w:val="20"/>
              </w:rPr>
              <w:t>5.81ab</w:t>
            </w:r>
          </w:p>
        </w:tc>
      </w:tr>
      <w:tr w:rsidR="00272110" w:rsidRPr="00272110" w14:paraId="756101B1" w14:textId="77777777" w:rsidTr="00822959">
        <w:trPr>
          <w:trHeight w:val="325"/>
        </w:trPr>
        <w:tc>
          <w:tcPr>
            <w:tcW w:w="2231" w:type="dxa"/>
          </w:tcPr>
          <w:p w14:paraId="42765B7F" w14:textId="77777777" w:rsidR="00131300" w:rsidRPr="00272110" w:rsidRDefault="00131300" w:rsidP="00822959">
            <w:pPr>
              <w:pStyle w:val="TableParagraph"/>
              <w:spacing w:before="26"/>
              <w:ind w:left="52" w:right="192"/>
              <w:rPr>
                <w:sz w:val="20"/>
                <w:szCs w:val="20"/>
              </w:rPr>
            </w:pPr>
            <w:r w:rsidRPr="00272110">
              <w:rPr>
                <w:sz w:val="20"/>
                <w:szCs w:val="20"/>
              </w:rPr>
              <w:t>P2</w:t>
            </w:r>
            <w:r w:rsidRPr="00272110">
              <w:rPr>
                <w:spacing w:val="-4"/>
                <w:sz w:val="20"/>
                <w:szCs w:val="20"/>
              </w:rPr>
              <w:t xml:space="preserve"> </w:t>
            </w:r>
            <w:r w:rsidRPr="00272110">
              <w:rPr>
                <w:sz w:val="20"/>
                <w:szCs w:val="20"/>
              </w:rPr>
              <w:t>(5</w:t>
            </w:r>
            <w:r w:rsidRPr="00272110">
              <w:rPr>
                <w:spacing w:val="-1"/>
                <w:sz w:val="20"/>
                <w:szCs w:val="20"/>
              </w:rPr>
              <w:t xml:space="preserve"> </w:t>
            </w:r>
            <w:r w:rsidRPr="00272110">
              <w:rPr>
                <w:spacing w:val="-2"/>
                <w:sz w:val="20"/>
                <w:szCs w:val="20"/>
              </w:rPr>
              <w:t>kg/m</w:t>
            </w:r>
            <w:r w:rsidRPr="00272110">
              <w:rPr>
                <w:spacing w:val="-2"/>
                <w:sz w:val="20"/>
                <w:szCs w:val="20"/>
                <w:vertAlign w:val="superscript"/>
              </w:rPr>
              <w:t>2</w:t>
            </w:r>
            <w:r w:rsidRPr="00272110">
              <w:rPr>
                <w:spacing w:val="-2"/>
                <w:sz w:val="20"/>
                <w:szCs w:val="20"/>
              </w:rPr>
              <w:t>)</w:t>
            </w:r>
          </w:p>
        </w:tc>
        <w:tc>
          <w:tcPr>
            <w:tcW w:w="2691" w:type="dxa"/>
          </w:tcPr>
          <w:p w14:paraId="51A0F4B9" w14:textId="77777777" w:rsidR="00131300" w:rsidRPr="00272110" w:rsidRDefault="00131300" w:rsidP="00822959">
            <w:pPr>
              <w:pStyle w:val="TableParagraph"/>
              <w:spacing w:before="52" w:line="252" w:lineRule="exact"/>
              <w:ind w:left="8" w:right="72"/>
              <w:rPr>
                <w:sz w:val="20"/>
                <w:szCs w:val="20"/>
              </w:rPr>
            </w:pPr>
            <w:r w:rsidRPr="00272110">
              <w:rPr>
                <w:spacing w:val="-2"/>
                <w:sz w:val="20"/>
                <w:szCs w:val="20"/>
              </w:rPr>
              <w:t>0.490abc</w:t>
            </w:r>
          </w:p>
        </w:tc>
        <w:tc>
          <w:tcPr>
            <w:tcW w:w="2608" w:type="dxa"/>
          </w:tcPr>
          <w:p w14:paraId="26D93207" w14:textId="77777777" w:rsidR="00131300" w:rsidRPr="00272110" w:rsidRDefault="00131300" w:rsidP="00822959">
            <w:pPr>
              <w:pStyle w:val="TableParagraph"/>
              <w:spacing w:before="88" w:line="216" w:lineRule="exact"/>
              <w:ind w:right="113"/>
              <w:rPr>
                <w:sz w:val="20"/>
                <w:szCs w:val="20"/>
              </w:rPr>
            </w:pPr>
            <w:r w:rsidRPr="00272110">
              <w:rPr>
                <w:spacing w:val="-2"/>
                <w:sz w:val="20"/>
                <w:szCs w:val="20"/>
              </w:rPr>
              <w:t>4.90abc</w:t>
            </w:r>
          </w:p>
        </w:tc>
      </w:tr>
      <w:tr w:rsidR="00272110" w:rsidRPr="00272110" w14:paraId="38D20C2A" w14:textId="77777777" w:rsidTr="00822959">
        <w:trPr>
          <w:trHeight w:val="344"/>
        </w:trPr>
        <w:tc>
          <w:tcPr>
            <w:tcW w:w="2231" w:type="dxa"/>
            <w:tcBorders>
              <w:bottom w:val="single" w:sz="4" w:space="0" w:color="000000"/>
            </w:tcBorders>
          </w:tcPr>
          <w:p w14:paraId="258AEAA0" w14:textId="77777777" w:rsidR="00131300" w:rsidRPr="00272110" w:rsidRDefault="00131300" w:rsidP="00822959">
            <w:pPr>
              <w:pStyle w:val="TableParagraph"/>
              <w:spacing w:before="25"/>
              <w:ind w:left="120" w:right="140"/>
              <w:rPr>
                <w:sz w:val="20"/>
                <w:szCs w:val="20"/>
              </w:rPr>
            </w:pPr>
            <w:r w:rsidRPr="00272110">
              <w:rPr>
                <w:sz w:val="20"/>
                <w:szCs w:val="20"/>
              </w:rPr>
              <w:t>P3</w:t>
            </w:r>
            <w:r w:rsidRPr="00272110">
              <w:rPr>
                <w:spacing w:val="-2"/>
                <w:sz w:val="20"/>
                <w:szCs w:val="20"/>
              </w:rPr>
              <w:t xml:space="preserve"> </w:t>
            </w:r>
            <w:r w:rsidRPr="00272110">
              <w:rPr>
                <w:sz w:val="20"/>
                <w:szCs w:val="20"/>
              </w:rPr>
              <w:t>(10</w:t>
            </w:r>
            <w:r w:rsidRPr="00272110">
              <w:rPr>
                <w:spacing w:val="-1"/>
                <w:sz w:val="20"/>
                <w:szCs w:val="20"/>
              </w:rPr>
              <w:t xml:space="preserve"> </w:t>
            </w:r>
            <w:r w:rsidRPr="00272110">
              <w:rPr>
                <w:spacing w:val="-2"/>
                <w:sz w:val="20"/>
                <w:szCs w:val="20"/>
              </w:rPr>
              <w:t>kg/m</w:t>
            </w:r>
            <w:r w:rsidRPr="00272110">
              <w:rPr>
                <w:spacing w:val="-2"/>
                <w:sz w:val="20"/>
                <w:szCs w:val="20"/>
                <w:vertAlign w:val="superscript"/>
              </w:rPr>
              <w:t>2</w:t>
            </w:r>
            <w:r w:rsidRPr="00272110">
              <w:rPr>
                <w:spacing w:val="-2"/>
                <w:sz w:val="20"/>
                <w:szCs w:val="20"/>
              </w:rPr>
              <w:t>)</w:t>
            </w:r>
          </w:p>
        </w:tc>
        <w:tc>
          <w:tcPr>
            <w:tcW w:w="2691" w:type="dxa"/>
            <w:tcBorders>
              <w:bottom w:val="single" w:sz="4" w:space="0" w:color="000000"/>
            </w:tcBorders>
          </w:tcPr>
          <w:p w14:paraId="5D57B166" w14:textId="77777777" w:rsidR="00131300" w:rsidRPr="00272110" w:rsidRDefault="00131300" w:rsidP="00822959">
            <w:pPr>
              <w:pStyle w:val="TableParagraph"/>
              <w:spacing w:before="51"/>
              <w:ind w:left="8" w:right="72"/>
              <w:rPr>
                <w:sz w:val="20"/>
                <w:szCs w:val="20"/>
              </w:rPr>
            </w:pPr>
            <w:r w:rsidRPr="00272110">
              <w:rPr>
                <w:spacing w:val="-2"/>
                <w:sz w:val="20"/>
                <w:szCs w:val="20"/>
              </w:rPr>
              <w:t>0.648c</w:t>
            </w:r>
          </w:p>
        </w:tc>
        <w:tc>
          <w:tcPr>
            <w:tcW w:w="2608" w:type="dxa"/>
            <w:tcBorders>
              <w:bottom w:val="single" w:sz="4" w:space="0" w:color="000000"/>
            </w:tcBorders>
          </w:tcPr>
          <w:p w14:paraId="083D7584" w14:textId="77777777" w:rsidR="00131300" w:rsidRPr="00272110" w:rsidRDefault="00131300" w:rsidP="00822959">
            <w:pPr>
              <w:pStyle w:val="TableParagraph"/>
              <w:spacing w:before="87" w:line="236" w:lineRule="exact"/>
              <w:ind w:left="1" w:right="113"/>
              <w:rPr>
                <w:sz w:val="20"/>
                <w:szCs w:val="20"/>
              </w:rPr>
            </w:pPr>
            <w:r w:rsidRPr="00272110">
              <w:rPr>
                <w:spacing w:val="-2"/>
                <w:sz w:val="20"/>
                <w:szCs w:val="20"/>
              </w:rPr>
              <w:t>6.48c</w:t>
            </w:r>
          </w:p>
        </w:tc>
      </w:tr>
      <w:tr w:rsidR="00272110" w:rsidRPr="00272110" w14:paraId="050731F1" w14:textId="77777777" w:rsidTr="00822959">
        <w:trPr>
          <w:trHeight w:val="330"/>
        </w:trPr>
        <w:tc>
          <w:tcPr>
            <w:tcW w:w="2231" w:type="dxa"/>
            <w:tcBorders>
              <w:top w:val="single" w:sz="4" w:space="0" w:color="000000"/>
              <w:bottom w:val="single" w:sz="4" w:space="0" w:color="000000"/>
            </w:tcBorders>
          </w:tcPr>
          <w:p w14:paraId="6D297E79" w14:textId="77777777" w:rsidR="00131300" w:rsidRPr="00272110" w:rsidRDefault="00131300" w:rsidP="00822959">
            <w:pPr>
              <w:pStyle w:val="TableParagraph"/>
              <w:spacing w:before="11"/>
              <w:ind w:left="192" w:right="140"/>
              <w:rPr>
                <w:b/>
                <w:sz w:val="20"/>
                <w:szCs w:val="20"/>
              </w:rPr>
            </w:pPr>
            <w:r w:rsidRPr="00272110">
              <w:rPr>
                <w:b/>
                <w:sz w:val="20"/>
                <w:szCs w:val="20"/>
              </w:rPr>
              <w:t>DMRT</w:t>
            </w:r>
            <w:r w:rsidRPr="00272110">
              <w:rPr>
                <w:b/>
                <w:spacing w:val="-3"/>
                <w:sz w:val="20"/>
                <w:szCs w:val="20"/>
              </w:rPr>
              <w:t xml:space="preserve"> </w:t>
            </w:r>
            <w:r w:rsidRPr="00272110">
              <w:rPr>
                <w:b/>
                <w:spacing w:val="-5"/>
                <w:sz w:val="20"/>
                <w:szCs w:val="20"/>
              </w:rPr>
              <w:t>5%</w:t>
            </w:r>
          </w:p>
        </w:tc>
        <w:tc>
          <w:tcPr>
            <w:tcW w:w="2691" w:type="dxa"/>
            <w:tcBorders>
              <w:top w:val="single" w:sz="4" w:space="0" w:color="000000"/>
              <w:bottom w:val="single" w:sz="4" w:space="0" w:color="000000"/>
            </w:tcBorders>
          </w:tcPr>
          <w:p w14:paraId="6BE5D247" w14:textId="77777777" w:rsidR="00131300" w:rsidRPr="00272110" w:rsidRDefault="00131300" w:rsidP="00822959">
            <w:pPr>
              <w:pStyle w:val="TableParagraph"/>
              <w:spacing w:before="33"/>
              <w:ind w:right="72"/>
              <w:rPr>
                <w:sz w:val="20"/>
                <w:szCs w:val="20"/>
              </w:rPr>
            </w:pPr>
            <w:r w:rsidRPr="00272110">
              <w:rPr>
                <w:spacing w:val="-10"/>
                <w:sz w:val="20"/>
                <w:szCs w:val="20"/>
              </w:rPr>
              <w:t>*</w:t>
            </w:r>
          </w:p>
        </w:tc>
        <w:tc>
          <w:tcPr>
            <w:tcW w:w="2608" w:type="dxa"/>
            <w:tcBorders>
              <w:top w:val="single" w:sz="4" w:space="0" w:color="000000"/>
              <w:bottom w:val="single" w:sz="4" w:space="0" w:color="000000"/>
            </w:tcBorders>
          </w:tcPr>
          <w:p w14:paraId="6AC0E467" w14:textId="77777777" w:rsidR="00131300" w:rsidRPr="00272110" w:rsidRDefault="00131300" w:rsidP="00822959">
            <w:pPr>
              <w:pStyle w:val="TableParagraph"/>
              <w:spacing w:before="69" w:line="240" w:lineRule="exact"/>
              <w:ind w:right="113"/>
              <w:rPr>
                <w:sz w:val="20"/>
                <w:szCs w:val="20"/>
              </w:rPr>
            </w:pPr>
            <w:r w:rsidRPr="00272110">
              <w:rPr>
                <w:spacing w:val="-10"/>
                <w:sz w:val="20"/>
                <w:szCs w:val="20"/>
              </w:rPr>
              <w:t>*</w:t>
            </w:r>
          </w:p>
        </w:tc>
      </w:tr>
    </w:tbl>
    <w:p w14:paraId="1DB62D25" w14:textId="609D37F9" w:rsidR="00B7010C" w:rsidRPr="00272110" w:rsidRDefault="00B7010C" w:rsidP="001F698F">
      <w:pPr>
        <w:rPr>
          <w:sz w:val="20"/>
          <w:szCs w:val="20"/>
          <w:lang w:val="id"/>
        </w:rPr>
      </w:pPr>
      <w:r w:rsidRPr="00272110">
        <w:rPr>
          <w:sz w:val="20"/>
          <w:szCs w:val="20"/>
          <w:lang w:val="id"/>
        </w:rPr>
        <w:t>Keterangan : nilai pada kolom dan diikuti huruf yang sama menunjukkan berbeda tidak nyata berdasarkan uji DMRT</w:t>
      </w:r>
    </w:p>
    <w:p w14:paraId="64BE0499" w14:textId="77777777" w:rsidR="00B7010C" w:rsidRPr="00272110" w:rsidRDefault="00B7010C" w:rsidP="001F698F">
      <w:pPr>
        <w:rPr>
          <w:sz w:val="20"/>
          <w:szCs w:val="20"/>
          <w:lang w:val="id"/>
        </w:rPr>
      </w:pPr>
    </w:p>
    <w:p w14:paraId="75BFCC34" w14:textId="23D70498" w:rsidR="00526CF1" w:rsidRPr="00272110" w:rsidRDefault="00526CF1" w:rsidP="00526CF1">
      <w:pPr>
        <w:rPr>
          <w:sz w:val="20"/>
          <w:szCs w:val="20"/>
          <w:lang w:val="id"/>
        </w:rPr>
      </w:pPr>
      <w:r w:rsidRPr="00272110">
        <w:rPr>
          <w:sz w:val="20"/>
          <w:szCs w:val="20"/>
          <w:lang w:val="id"/>
        </w:rPr>
        <w:t xml:space="preserve">Pada tabel </w:t>
      </w:r>
      <w:r w:rsidR="00B7010C" w:rsidRPr="00272110">
        <w:rPr>
          <w:sz w:val="20"/>
          <w:szCs w:val="20"/>
          <w:lang w:val="id"/>
        </w:rPr>
        <w:t>2</w:t>
      </w:r>
      <w:r w:rsidRPr="00272110">
        <w:rPr>
          <w:sz w:val="20"/>
          <w:szCs w:val="20"/>
          <w:lang w:val="id"/>
        </w:rPr>
        <w:t xml:space="preserve"> menunjukkan bahwa pemberian dosis pupuk terhadap hasil yang telah di konversi menunjukkan beberapa perbedaan terhadap hasilnya. Hasil perpetak berbeda nyata perlakuan P0 dan P3 berbeda nyata, namun P0, P1, dan P2 berbeda tidak nyata.</w:t>
      </w:r>
      <w:r w:rsidR="00B7010C" w:rsidRPr="00272110">
        <w:rPr>
          <w:sz w:val="20"/>
          <w:szCs w:val="20"/>
          <w:lang w:val="id"/>
        </w:rPr>
        <w:t xml:space="preserve"> </w:t>
      </w:r>
      <w:r w:rsidRPr="00272110">
        <w:rPr>
          <w:sz w:val="20"/>
          <w:szCs w:val="20"/>
          <w:lang w:val="id"/>
        </w:rPr>
        <w:t>Hasil perpetak tertinggi dengan biji basah kedelai Edamame terdapat pada perlakuan P3 dengan nilai 0.648 kg dan hasil terendah terdapat pada P0 dengan nilai 0.465ton/ha</w:t>
      </w:r>
      <w:r w:rsidR="00B7010C" w:rsidRPr="00272110">
        <w:rPr>
          <w:sz w:val="20"/>
          <w:szCs w:val="20"/>
          <w:lang w:val="id"/>
        </w:rPr>
        <w:t>.</w:t>
      </w:r>
    </w:p>
    <w:p w14:paraId="1D764017" w14:textId="77777777" w:rsidR="00B7010C" w:rsidRPr="00272110" w:rsidRDefault="00B7010C" w:rsidP="00526CF1">
      <w:pPr>
        <w:rPr>
          <w:sz w:val="20"/>
          <w:szCs w:val="20"/>
          <w:lang w:val="id"/>
        </w:rPr>
      </w:pPr>
    </w:p>
    <w:p w14:paraId="5A09E5D1" w14:textId="6F6794F4" w:rsidR="00526CF1" w:rsidRPr="00272110" w:rsidRDefault="00526CF1" w:rsidP="00526CF1">
      <w:pPr>
        <w:rPr>
          <w:sz w:val="20"/>
          <w:szCs w:val="20"/>
          <w:lang w:val="id"/>
        </w:rPr>
      </w:pPr>
      <w:r w:rsidRPr="00272110">
        <w:rPr>
          <w:sz w:val="20"/>
          <w:szCs w:val="20"/>
          <w:lang w:val="id"/>
        </w:rPr>
        <w:t>Hasil konversi produksi ton/ha berbeda nyata, perlakuan P0 dan P3 berbeda nyata, P0, P1, dan P2 berbeda tidak nyata. Hasil perpetak terbaik terdapat pada P3 denagn nilai 6.48 ton/ha dan hasil terendah terdapat pada perlakuan P0 dengan nilai 4.65 ton/ha. Hasil tersebut sejalan dengan penelitian Mufriah dan sulistiani (2020) pada pemberian konsorsium mikroba berpeng</w:t>
      </w:r>
      <w:r w:rsidR="00135E17" w:rsidRPr="00272110">
        <w:rPr>
          <w:sz w:val="20"/>
          <w:szCs w:val="20"/>
          <w:lang w:val="id"/>
        </w:rPr>
        <w:t>a</w:t>
      </w:r>
      <w:r w:rsidRPr="00272110">
        <w:rPr>
          <w:sz w:val="20"/>
          <w:szCs w:val="20"/>
          <w:lang w:val="id"/>
        </w:rPr>
        <w:t>ruh terhadap berat polong. Hasil perpetak dan perhektar berbanding lurus dengan berat polong.</w:t>
      </w:r>
    </w:p>
    <w:p w14:paraId="44133607" w14:textId="77777777" w:rsidR="00B7010C" w:rsidRPr="00272110" w:rsidRDefault="00B7010C" w:rsidP="00526CF1">
      <w:pPr>
        <w:rPr>
          <w:sz w:val="20"/>
          <w:szCs w:val="20"/>
          <w:lang w:val="id"/>
        </w:rPr>
      </w:pPr>
    </w:p>
    <w:p w14:paraId="634EF46C" w14:textId="09EF7D00" w:rsidR="00526CF1" w:rsidRPr="00272110" w:rsidRDefault="00526CF1" w:rsidP="00526CF1">
      <w:pPr>
        <w:rPr>
          <w:sz w:val="20"/>
          <w:szCs w:val="20"/>
          <w:lang w:val="id"/>
        </w:rPr>
      </w:pPr>
      <w:r w:rsidRPr="00272110">
        <w:rPr>
          <w:sz w:val="20"/>
          <w:szCs w:val="20"/>
          <w:lang w:val="id"/>
        </w:rPr>
        <w:t>Menurut Jumini &amp; Hayati (2010) pemberian pupuk hayati yang dapat menambat unsur hara N berpengaruh pada variabel jumlah polong. Simbiosis antara bakteri Rhizobium yang mampu menghasilkan suplai N yang diserap tanaman kedelai mampu berpengaruh pada fase generatif tanaman terutama pembentukan polong. semakin banyak dosis pupuk konsorsium dan mampu bersimbiosis dengan baktri Rhizobium maka hasil perpetak dan hasil perhektar akan semakin tinggi. Jumlah biji dan polong yang terbentuk pada</w:t>
      </w:r>
      <w:r w:rsidR="00B7010C" w:rsidRPr="00272110">
        <w:rPr>
          <w:sz w:val="20"/>
          <w:szCs w:val="20"/>
          <w:lang w:val="id"/>
        </w:rPr>
        <w:t xml:space="preserve"> </w:t>
      </w:r>
      <w:r w:rsidRPr="00272110">
        <w:rPr>
          <w:sz w:val="20"/>
          <w:szCs w:val="20"/>
          <w:lang w:val="id"/>
        </w:rPr>
        <w:t>tanaman kedelai merupakan komponen penting dan sangat menentukan hasil produksi kedelai. Semakin banyak biji yang terbentuk maka semakin tinggi produksi kedelai.</w:t>
      </w:r>
    </w:p>
    <w:p w14:paraId="70DAB8B4" w14:textId="6703C38D" w:rsidR="00526CF1" w:rsidRPr="00272110" w:rsidRDefault="00526CF1" w:rsidP="00526CF1">
      <w:pPr>
        <w:rPr>
          <w:sz w:val="20"/>
          <w:szCs w:val="20"/>
          <w:lang w:val="id"/>
        </w:rPr>
      </w:pPr>
      <w:r w:rsidRPr="00272110">
        <w:rPr>
          <w:sz w:val="20"/>
          <w:szCs w:val="20"/>
          <w:lang w:val="id"/>
        </w:rPr>
        <w:t>Kedelai edamame tumbuh normal di areal gawangan TBM karet. Sejalan dengan Tistama, R dkk., (2016) bahwa tanaman tumpang sari kedelai di karet tumbuh dengan normal di gawangan mati TBM karet dan memberikan hasil yang menguntungkan. Tumpangsari kedelai edamame dapat diterapkan bagi petani karet dan perusahaan perkebunan komoditi karet pada masa TBM karet.</w:t>
      </w:r>
    </w:p>
    <w:p w14:paraId="5EF7A07E" w14:textId="77777777" w:rsidR="00BB5239" w:rsidRPr="00272110" w:rsidRDefault="00BB5239" w:rsidP="00BB5239">
      <w:pPr>
        <w:pStyle w:val="Heading1"/>
        <w:numPr>
          <w:ilvl w:val="0"/>
          <w:numId w:val="0"/>
        </w:numPr>
        <w:ind w:left="360" w:hanging="360"/>
      </w:pPr>
      <w:r w:rsidRPr="00272110">
        <w:lastRenderedPageBreak/>
        <w:t>KESIMPULAN DAN SARAN</w:t>
      </w:r>
    </w:p>
    <w:p w14:paraId="2C1F3E48" w14:textId="5DE3050E" w:rsidR="004450BF" w:rsidRPr="00272110" w:rsidRDefault="00B44B33" w:rsidP="004450BF">
      <w:pPr>
        <w:rPr>
          <w:sz w:val="20"/>
          <w:szCs w:val="20"/>
          <w:lang w:val="id"/>
        </w:rPr>
      </w:pPr>
      <w:r w:rsidRPr="00272110">
        <w:rPr>
          <w:sz w:val="20"/>
          <w:szCs w:val="20"/>
          <w:lang w:val="id"/>
        </w:rPr>
        <w:t>Aplikasi</w:t>
      </w:r>
      <w:r w:rsidR="004450BF" w:rsidRPr="00272110">
        <w:rPr>
          <w:sz w:val="20"/>
          <w:szCs w:val="20"/>
          <w:lang w:val="id"/>
        </w:rPr>
        <w:t xml:space="preserve"> pupuk konsorsium mikroba (Bioneensis) memberikan pengaruh terhadap pertumbuhan dan hasil kedelai edamame sebagai tumpang sari di areal tanaman karet</w:t>
      </w:r>
      <w:r w:rsidR="00373E08" w:rsidRPr="00272110">
        <w:rPr>
          <w:sz w:val="20"/>
          <w:szCs w:val="20"/>
          <w:lang w:val="id"/>
        </w:rPr>
        <w:t>. D</w:t>
      </w:r>
      <w:r w:rsidR="004450BF" w:rsidRPr="00272110">
        <w:rPr>
          <w:sz w:val="20"/>
          <w:szCs w:val="20"/>
          <w:lang w:val="id"/>
        </w:rPr>
        <w:t>osis P3 (10 kg Bioneensis / m</w:t>
      </w:r>
      <w:r w:rsidR="004450BF" w:rsidRPr="00272110">
        <w:rPr>
          <w:sz w:val="20"/>
          <w:szCs w:val="20"/>
          <w:vertAlign w:val="superscript"/>
          <w:lang w:val="id"/>
        </w:rPr>
        <w:t>2</w:t>
      </w:r>
      <w:r w:rsidR="004450BF" w:rsidRPr="00272110">
        <w:rPr>
          <w:sz w:val="20"/>
          <w:szCs w:val="20"/>
          <w:lang w:val="id"/>
        </w:rPr>
        <w:t xml:space="preserve">) memberikan nilai tertinggi pada </w:t>
      </w:r>
      <w:r w:rsidR="00373E08" w:rsidRPr="00272110">
        <w:rPr>
          <w:sz w:val="20"/>
          <w:szCs w:val="20"/>
          <w:lang w:val="id"/>
        </w:rPr>
        <w:t>jumlah biji pertanaman, berat biji pertanaman, berat polong pertanaman, hasil perpetak dan konversi produksi ton/ha.</w:t>
      </w:r>
      <w:r w:rsidR="001B5339" w:rsidRPr="00272110">
        <w:rPr>
          <w:sz w:val="20"/>
          <w:szCs w:val="20"/>
          <w:lang w:val="id"/>
        </w:rPr>
        <w:t xml:space="preserve"> Disarankan penggunaan </w:t>
      </w:r>
      <w:r w:rsidR="00275DFD" w:rsidRPr="00272110">
        <w:rPr>
          <w:sz w:val="20"/>
          <w:szCs w:val="20"/>
          <w:lang w:val="id"/>
        </w:rPr>
        <w:t xml:space="preserve">pupuk Bioneenses pada areal tanaman kelapa sawit untuk penelitian lebih lanjut. </w:t>
      </w:r>
    </w:p>
    <w:p w14:paraId="3BDA921B" w14:textId="2F22AD99" w:rsidR="00300F23" w:rsidRPr="00272110" w:rsidRDefault="00FE7F3A" w:rsidP="00300F23">
      <w:pPr>
        <w:pStyle w:val="Acknowledgement"/>
        <w:rPr>
          <w:lang w:val="en-US"/>
        </w:rPr>
      </w:pPr>
      <w:r>
        <w:rPr>
          <w:lang w:val="en-US"/>
        </w:rPr>
        <w:br/>
      </w:r>
      <w:r w:rsidR="00CD24E0" w:rsidRPr="00272110">
        <w:rPr>
          <w:lang w:val="en-US"/>
        </w:rPr>
        <w:t>DAFTAR PUSTAKA</w:t>
      </w:r>
    </w:p>
    <w:p w14:paraId="4BB7CF88" w14:textId="3AAF755A" w:rsidR="00C27C7D" w:rsidRPr="00272110" w:rsidRDefault="00C27C7D" w:rsidP="00832E06">
      <w:pPr>
        <w:ind w:left="567" w:hanging="567"/>
        <w:rPr>
          <w:rFonts w:eastAsia="Arial" w:cs="Times New Roman"/>
          <w:sz w:val="20"/>
          <w:szCs w:val="28"/>
          <w:lang w:val="id"/>
        </w:rPr>
      </w:pPr>
      <w:r w:rsidRPr="00272110">
        <w:rPr>
          <w:rFonts w:eastAsia="Arial" w:cs="Times New Roman"/>
          <w:sz w:val="20"/>
          <w:szCs w:val="28"/>
          <w:lang w:val="id"/>
        </w:rPr>
        <w:t>Astari, K., Yuniarti, A dan Sofyan, E.T (2016). Pengaruh Kombinasi Pupuk N, P, K dan Vermikompos terhadap Kandungan C-Organik, N Total, C/N dan Hasil Kedelai (Glycine max (L) Merr) Kultivar Edamame pada Inceptisols Jatinangor. Jurnal Agroekoteknologi 8 (2): 95-103</w:t>
      </w:r>
    </w:p>
    <w:p w14:paraId="56E245EF" w14:textId="0426487E" w:rsidR="00F9380E" w:rsidRPr="00272110" w:rsidRDefault="00F9380E" w:rsidP="00832E06">
      <w:pPr>
        <w:ind w:left="567" w:hanging="567"/>
        <w:rPr>
          <w:rFonts w:eastAsia="Arial" w:cs="Times New Roman"/>
          <w:sz w:val="20"/>
          <w:szCs w:val="28"/>
          <w:lang w:val="id"/>
        </w:rPr>
      </w:pPr>
      <w:r w:rsidRPr="00272110">
        <w:rPr>
          <w:rFonts w:eastAsia="Arial" w:cs="Times New Roman"/>
          <w:sz w:val="20"/>
          <w:szCs w:val="28"/>
          <w:lang w:val="id"/>
        </w:rPr>
        <w:t>Jumini dan Hayati, R (2010). Kajian Biokomplek Trico-G dan Inokulasi Rhizobium pada Hasil Tanaman Kedelai (Glycine max (L.) Merrill). Jurnal Floratek, 5: 23–30</w:t>
      </w:r>
    </w:p>
    <w:p w14:paraId="67A83F29" w14:textId="50152967" w:rsidR="00832E06" w:rsidRPr="00272110" w:rsidRDefault="00832E06" w:rsidP="00832E06">
      <w:pPr>
        <w:ind w:left="567" w:hanging="567"/>
        <w:rPr>
          <w:rFonts w:eastAsia="Arial" w:cs="Times New Roman"/>
          <w:sz w:val="20"/>
          <w:szCs w:val="28"/>
          <w:lang w:val="id"/>
        </w:rPr>
      </w:pPr>
      <w:r w:rsidRPr="00272110">
        <w:rPr>
          <w:rFonts w:eastAsia="Arial" w:cs="Times New Roman"/>
          <w:sz w:val="20"/>
          <w:szCs w:val="28"/>
          <w:lang w:val="id"/>
        </w:rPr>
        <w:t>Karyawati, A.S., Waluyo, B dan Basuki, N (2010) Evaluasi Penampilan Plasma Nutfah Jagung dan Galur Kedelai Hasil Mutasi Untuk Tumpangsari Menggunakan Ugmented Design., Fakultas Pertanian Universitas Brawijaya Diakses pada tanggal 15 Agustus 2022.</w:t>
      </w:r>
    </w:p>
    <w:p w14:paraId="7CF75089" w14:textId="77777777" w:rsidR="00720926" w:rsidRPr="00272110" w:rsidRDefault="00720926" w:rsidP="00720926">
      <w:pPr>
        <w:ind w:left="567" w:hanging="567"/>
        <w:rPr>
          <w:rFonts w:eastAsia="Arial" w:cs="Times New Roman"/>
          <w:sz w:val="20"/>
          <w:szCs w:val="28"/>
        </w:rPr>
      </w:pPr>
      <w:r w:rsidRPr="00272110">
        <w:rPr>
          <w:rFonts w:eastAsia="Arial" w:cs="Times New Roman"/>
          <w:sz w:val="20"/>
          <w:szCs w:val="28"/>
          <w:lang w:val="id"/>
        </w:rPr>
        <w:t>Mufriah, D dan Sulistiani, R. (2020). jurnal Al Ulum LPPM Universitas Al Washliyah Medan 8 (1), 12-19, 2020</w:t>
      </w:r>
      <w:r w:rsidRPr="00272110">
        <w:rPr>
          <w:rFonts w:eastAsia="Arial" w:cs="Times New Roman"/>
          <w:sz w:val="20"/>
          <w:szCs w:val="28"/>
        </w:rPr>
        <w:t>Gilbert, H. S., &amp; Hart, L. N. (Eds.). (2000). Racism and mapmaking: Never a straight line? New York: Preston Press. (</w:t>
      </w:r>
      <w:r w:rsidRPr="00272110">
        <w:rPr>
          <w:rFonts w:eastAsia="Arial" w:cs="Times New Roman"/>
          <w:i/>
          <w:sz w:val="20"/>
          <w:szCs w:val="28"/>
        </w:rPr>
        <w:t>buku dengan editor, ed. satu orang, eds. untuk &gt; 1 orang</w:t>
      </w:r>
      <w:r w:rsidRPr="00272110">
        <w:rPr>
          <w:rFonts w:eastAsia="Arial" w:cs="Times New Roman"/>
          <w:sz w:val="20"/>
          <w:szCs w:val="28"/>
        </w:rPr>
        <w:t>)</w:t>
      </w:r>
    </w:p>
    <w:p w14:paraId="0375A7D6" w14:textId="77777777" w:rsidR="00832E06" w:rsidRPr="00272110" w:rsidRDefault="00832E06" w:rsidP="00832E06">
      <w:pPr>
        <w:ind w:left="567" w:hanging="567"/>
        <w:rPr>
          <w:rFonts w:eastAsia="Arial" w:cs="Times New Roman"/>
          <w:sz w:val="20"/>
          <w:szCs w:val="28"/>
          <w:lang w:val="id"/>
        </w:rPr>
      </w:pPr>
      <w:r w:rsidRPr="00272110">
        <w:rPr>
          <w:rFonts w:eastAsia="Arial" w:cs="Times New Roman"/>
          <w:sz w:val="20"/>
          <w:szCs w:val="28"/>
          <w:lang w:val="id"/>
        </w:rPr>
        <w:t>Nugroho, C dan Hidayah. (2010). Penyisihan Logam Chrom Menggunakan Konsorsium Mikroorganisme. Ilmiah Teknik Lingkungan. 1: 16-19.</w:t>
      </w:r>
    </w:p>
    <w:p w14:paraId="3CDE6552" w14:textId="0E7331D8" w:rsidR="003A0654" w:rsidRPr="00272110" w:rsidRDefault="003A0654" w:rsidP="003A0654">
      <w:pPr>
        <w:ind w:left="567" w:hanging="567"/>
        <w:rPr>
          <w:rFonts w:eastAsia="Arial" w:cs="Times New Roman"/>
          <w:sz w:val="20"/>
          <w:szCs w:val="28"/>
          <w:lang w:val="id"/>
        </w:rPr>
      </w:pPr>
      <w:r w:rsidRPr="00272110">
        <w:rPr>
          <w:rFonts w:eastAsia="Arial" w:cs="Times New Roman"/>
          <w:sz w:val="20"/>
          <w:szCs w:val="28"/>
          <w:lang w:val="id"/>
        </w:rPr>
        <w:t>Pambudi, S. (2013). Budidaya &amp; Khasiat Kedelai Edamame.Pustaka Baru Press. Yogyakarta.</w:t>
      </w:r>
    </w:p>
    <w:p w14:paraId="76E2017A" w14:textId="36938A23" w:rsidR="00281459" w:rsidRPr="00272110" w:rsidRDefault="00281459" w:rsidP="003A0654">
      <w:pPr>
        <w:ind w:left="567" w:hanging="567"/>
        <w:rPr>
          <w:rFonts w:eastAsia="Arial" w:cs="Times New Roman"/>
          <w:sz w:val="20"/>
          <w:szCs w:val="28"/>
          <w:lang w:val="id"/>
        </w:rPr>
      </w:pPr>
      <w:r w:rsidRPr="00272110">
        <w:rPr>
          <w:rFonts w:eastAsia="Arial" w:cs="Times New Roman"/>
          <w:sz w:val="20"/>
          <w:szCs w:val="28"/>
          <w:lang w:val="id"/>
        </w:rPr>
        <w:t>Permanasari, I dan Dodi Kastono. (2012). Pertumbuhan Tumpangsari Jagung Dan Kedelai Pada Perbedaan Waktu Tanam Dan Pemangkasan Jagung. Jurnal Agroteknologi, Vol. 3 No. 1, Agustus 2012: 13-20</w:t>
      </w:r>
    </w:p>
    <w:p w14:paraId="00558543" w14:textId="40F1BD97" w:rsidR="00F9380E" w:rsidRPr="00272110" w:rsidRDefault="00F9380E" w:rsidP="00832E06">
      <w:pPr>
        <w:ind w:left="567" w:hanging="567"/>
        <w:rPr>
          <w:sz w:val="20"/>
          <w:szCs w:val="20"/>
          <w:lang w:val="id"/>
        </w:rPr>
      </w:pPr>
      <w:r w:rsidRPr="00272110">
        <w:rPr>
          <w:sz w:val="20"/>
          <w:szCs w:val="20"/>
          <w:lang w:val="id"/>
        </w:rPr>
        <w:t>Ramadhani, M., Silvina, F dan Armaini (2016). Pemebrian Pupuk Kandang Dan Volume Air Terhadap Pertumbuhan Dan Hasil Kedelai Edamame (Glycine max (L) Merril). Jurnal Faperta 3 (1).</w:t>
      </w:r>
    </w:p>
    <w:p w14:paraId="7D967F5F" w14:textId="1105323F" w:rsidR="00413AF5" w:rsidRPr="00683311" w:rsidRDefault="003114C0" w:rsidP="00683311">
      <w:pPr>
        <w:ind w:left="567" w:hanging="567"/>
        <w:rPr>
          <w:sz w:val="20"/>
          <w:szCs w:val="20"/>
          <w:lang w:val="id"/>
        </w:rPr>
      </w:pPr>
      <w:r w:rsidRPr="00272110">
        <w:rPr>
          <w:sz w:val="20"/>
          <w:szCs w:val="20"/>
          <w:lang w:val="id"/>
        </w:rPr>
        <w:t>Sahputra, N., Yulia, A.E dan Silvina. F. (2016). Pemberian Kompos Tandan Kosong Kelapa Sawit Dan Jarak Tanam Pada Kedelai Edamame (Glycine Max (L) Merril). Jom Faperta 3(1):1-12</w:t>
      </w:r>
    </w:p>
    <w:p w14:paraId="0E2FC978" w14:textId="12443ADE" w:rsidR="00683311" w:rsidRPr="00683311" w:rsidRDefault="00683311" w:rsidP="00867181">
      <w:pPr>
        <w:widowControl w:val="0"/>
        <w:autoSpaceDE w:val="0"/>
        <w:autoSpaceDN w:val="0"/>
        <w:adjustRightInd w:val="0"/>
        <w:spacing w:line="240" w:lineRule="auto"/>
        <w:ind w:left="567" w:hanging="567"/>
        <w:rPr>
          <w:rFonts w:cs="Times New Roman"/>
          <w:noProof/>
        </w:rPr>
      </w:pPr>
      <w:r>
        <w:fldChar w:fldCharType="begin" w:fldLock="1"/>
      </w:r>
      <w:r>
        <w:instrText xml:space="preserve">ADDIN Mendeley Bibliography CSL_BIBLIOGRAPHY </w:instrText>
      </w:r>
      <w:r>
        <w:fldChar w:fldCharType="separate"/>
      </w:r>
      <w:r w:rsidRPr="00683311">
        <w:rPr>
          <w:rFonts w:cs="Times New Roman"/>
          <w:noProof/>
        </w:rPr>
        <w:t xml:space="preserve">Sipayung, H. H., Sukariawan, A. and Rahutomo, S. (2025) ‘Variasi Dosis Pupuk Bioneensis pada Tanaman Kedelai Edamame ( Glycine max ( L ) Merril ) yang Ditanam Secara Tumpang Sari di Areal Tanaman Karet’, </w:t>
      </w:r>
      <w:r w:rsidRPr="00683311">
        <w:rPr>
          <w:rFonts w:cs="Times New Roman"/>
          <w:i/>
          <w:iCs/>
          <w:noProof/>
        </w:rPr>
        <w:t>TABELA Jurnal Pertanian Berkelanjutan</w:t>
      </w:r>
      <w:r w:rsidRPr="00683311">
        <w:rPr>
          <w:rFonts w:cs="Times New Roman"/>
          <w:noProof/>
        </w:rPr>
        <w:t>, 3(1), pp. 32–37. doi: https://doi.org/10.56211/tabela.v3i1.758.</w:t>
      </w:r>
    </w:p>
    <w:p w14:paraId="2EA18CDC" w14:textId="3AF63461" w:rsidR="001B734D" w:rsidRPr="00272110" w:rsidRDefault="00683311" w:rsidP="009E06C5">
      <w:r>
        <w:fldChar w:fldCharType="end"/>
      </w:r>
    </w:p>
    <w:p w14:paraId="19D1C880" w14:textId="77777777" w:rsidR="001B734D" w:rsidRPr="00272110" w:rsidRDefault="001B734D" w:rsidP="009E06C5"/>
    <w:sectPr w:rsidR="001B734D" w:rsidRPr="00272110" w:rsidSect="00036321">
      <w:type w:val="continuous"/>
      <w:pgSz w:w="11900" w:h="16840"/>
      <w:pgMar w:top="1134" w:right="1127" w:bottom="1171"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8619" w14:textId="77777777" w:rsidR="00876DD4" w:rsidRDefault="00876DD4" w:rsidP="00F94815">
      <w:r>
        <w:separator/>
      </w:r>
    </w:p>
  </w:endnote>
  <w:endnote w:type="continuationSeparator" w:id="0">
    <w:p w14:paraId="158AE6FB" w14:textId="77777777" w:rsidR="00876DD4" w:rsidRDefault="00876DD4"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BF2D" w14:textId="77777777"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A26C49">
      <w:rPr>
        <w:rStyle w:val="PageNumber"/>
        <w:noProof/>
      </w:rPr>
      <w:t>4</w:t>
    </w:r>
    <w:r>
      <w:rPr>
        <w:rStyle w:val="PageNumber"/>
      </w:rPr>
      <w:fldChar w:fldCharType="end"/>
    </w:r>
  </w:p>
  <w:p w14:paraId="00E1D487" w14:textId="53A83AE6" w:rsidR="00D40B2A" w:rsidRDefault="000F2BE2" w:rsidP="003913E1">
    <w:pPr>
      <w:pStyle w:val="Footer"/>
      <w:tabs>
        <w:tab w:val="clear" w:pos="9360"/>
        <w:tab w:val="right" w:pos="9639"/>
      </w:tabs>
      <w:ind w:firstLine="360"/>
    </w:pPr>
    <w:r>
      <w:t>Hanafi Harun Sipayung</w:t>
    </w:r>
    <w:r w:rsidR="00405CA9">
      <w:tab/>
    </w:r>
    <w:r w:rsidR="00405CA9">
      <w:tab/>
    </w:r>
    <w:hyperlink r:id="rId1" w:history="1">
      <w:r w:rsidR="00A35E7A" w:rsidRPr="00702285">
        <w:rPr>
          <w:rStyle w:val="Hyperlink"/>
          <w:sz w:val="16"/>
        </w:rPr>
        <w:t>https://doi.org/10.56211/tabela.v3i2.1135</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C5FA" w14:textId="77777777"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A26C49">
      <w:rPr>
        <w:rStyle w:val="PageNumber"/>
        <w:noProof/>
      </w:rPr>
      <w:t>3</w:t>
    </w:r>
    <w:r>
      <w:rPr>
        <w:rStyle w:val="PageNumber"/>
      </w:rPr>
      <w:fldChar w:fldCharType="end"/>
    </w:r>
  </w:p>
  <w:p w14:paraId="09930687" w14:textId="282317E9" w:rsidR="00D40B2A" w:rsidRDefault="00A35E7A" w:rsidP="00287362">
    <w:pPr>
      <w:pStyle w:val="Footer"/>
      <w:ind w:right="360"/>
    </w:pPr>
    <w:hyperlink r:id="rId1" w:history="1">
      <w:r w:rsidRPr="00702285">
        <w:rPr>
          <w:rStyle w:val="Hyperlink"/>
          <w:sz w:val="16"/>
        </w:rPr>
        <w:t>https://doi.org/10.56211/tabela.v3i2.1135</w:t>
      </w:r>
    </w:hyperlink>
    <w:r w:rsidR="00C318F3">
      <w:rPr>
        <w:sz w:val="16"/>
      </w:rPr>
      <w:tab/>
    </w:r>
    <w:r w:rsidR="00C318F3">
      <w:rPr>
        <w:sz w:val="16"/>
      </w:rPr>
      <w:tab/>
    </w:r>
    <w:r w:rsidR="000F2BE2">
      <w:t>Hanafi Harun Sipayung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862E" w14:textId="2491EAB8" w:rsidR="00677457" w:rsidRPr="00677457" w:rsidRDefault="00A35E7A" w:rsidP="003A0B3F">
    <w:pPr>
      <w:pStyle w:val="Footer"/>
      <w:tabs>
        <w:tab w:val="clear" w:pos="9360"/>
        <w:tab w:val="right" w:pos="9915"/>
      </w:tabs>
      <w:rPr>
        <w:sz w:val="16"/>
      </w:rPr>
    </w:pPr>
    <w:hyperlink r:id="rId1" w:history="1">
      <w:r w:rsidRPr="00702285">
        <w:rPr>
          <w:rStyle w:val="Hyperlink"/>
          <w:sz w:val="16"/>
        </w:rPr>
        <w:t>https://doi.org/</w:t>
      </w:r>
      <w:r w:rsidRPr="00702285">
        <w:rPr>
          <w:rStyle w:val="Hyperlink"/>
          <w:sz w:val="16"/>
        </w:rPr>
        <w:t>10.56211/tabela.v3i2.1135</w:t>
      </w:r>
    </w:hyperlink>
    <w:r>
      <w:rPr>
        <w:sz w:val="16"/>
      </w:rPr>
      <w:t xml:space="preserve"> </w:t>
    </w:r>
    <w:r w:rsidR="00677457" w:rsidRPr="00677457">
      <w:rPr>
        <w:sz w:val="16"/>
      </w:rPr>
      <w:tab/>
    </w:r>
    <w:r w:rsidR="00677457" w:rsidRPr="00702EB2">
      <w:rPr>
        <w:sz w:val="14"/>
        <w:szCs w:val="22"/>
      </w:rPr>
      <w:tab/>
    </w:r>
    <w:hyperlink r:id="rId2" w:history="1">
      <w:r w:rsidR="00702EB2" w:rsidRPr="00702EB2">
        <w:rPr>
          <w:rStyle w:val="Hyperlink"/>
          <w:sz w:val="16"/>
          <w:szCs w:val="22"/>
        </w:rPr>
        <w:t>Attribution-ShareAlike 4.0 International</w:t>
      </w:r>
    </w:hyperlink>
    <w:r w:rsidR="00702EB2" w:rsidRPr="00702EB2">
      <w:rPr>
        <w:sz w:val="16"/>
        <w:szCs w:val="22"/>
      </w:rPr>
      <w:t xml:space="preserve"> </w:t>
    </w:r>
    <w:r w:rsidR="00677457" w:rsidRPr="00677457">
      <w:rPr>
        <w:sz w:val="16"/>
      </w:rPr>
      <w:t>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18A1" w14:textId="77777777" w:rsidR="00876DD4" w:rsidRDefault="00876DD4" w:rsidP="00F94815">
      <w:r>
        <w:separator/>
      </w:r>
    </w:p>
  </w:footnote>
  <w:footnote w:type="continuationSeparator" w:id="0">
    <w:p w14:paraId="1E441A5B" w14:textId="77777777" w:rsidR="00876DD4" w:rsidRDefault="00876DD4"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8EF" w14:textId="77777777" w:rsidR="00D40B2A" w:rsidRDefault="008F47C2"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sidR="00D40B2A">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05333F">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00D40B2A" w:rsidRPr="006421F8">
      <w:rPr>
        <w:rFonts w:cs="Times New Roman"/>
        <w:smallCaps/>
        <w:color w:val="808080" w:themeColor="background1" w:themeShade="80"/>
        <w:sz w:val="13"/>
        <w:szCs w:val="15"/>
      </w:rPr>
      <w:t>Jurnal Optimasi Sistem Industri</w:t>
    </w:r>
    <w:r w:rsidR="00D40B2A" w:rsidRPr="006421F8">
      <w:rPr>
        <w:rFonts w:cs="Times New Roman"/>
        <w:color w:val="808080" w:themeColor="background1" w:themeShade="80"/>
        <w:sz w:val="11"/>
      </w:rPr>
      <w:t xml:space="preserve"> </w:t>
    </w:r>
    <w:r w:rsidR="00D40B2A"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6573" w14:textId="37551A09" w:rsidR="00131727" w:rsidRPr="00042A20" w:rsidRDefault="000F2BE2" w:rsidP="00131727">
    <w:pPr>
      <w:pStyle w:val="Header"/>
      <w:tabs>
        <w:tab w:val="clear" w:pos="9360"/>
        <w:tab w:val="right" w:pos="9639"/>
      </w:tabs>
    </w:pPr>
    <w:r w:rsidRPr="000F2BE2">
      <w:rPr>
        <w:rFonts w:cs="Times New Roman"/>
        <w:smallCaps/>
        <w:color w:val="808080" w:themeColor="background1" w:themeShade="80"/>
        <w:sz w:val="13"/>
        <w:szCs w:val="15"/>
      </w:rPr>
      <w:t>Hanafi Harun Sipayung</w:t>
    </w:r>
    <w:r w:rsidRPr="000F2BE2">
      <w:rPr>
        <w:rFonts w:cs="Times New Roman"/>
        <w:smallCaps/>
        <w:color w:val="808080" w:themeColor="background1" w:themeShade="80"/>
        <w:sz w:val="13"/>
        <w:szCs w:val="15"/>
      </w:rPr>
      <w:t xml:space="preserve"> </w:t>
    </w:r>
    <w:r w:rsidR="00131727">
      <w:rPr>
        <w:rFonts w:cs="Times New Roman"/>
        <w:smallCaps/>
        <w:color w:val="808080" w:themeColor="background1" w:themeShade="80"/>
        <w:sz w:val="13"/>
        <w:szCs w:val="15"/>
      </w:rPr>
      <w:t xml:space="preserve">/ </w:t>
    </w:r>
    <w:r w:rsidR="00131727">
      <w:rPr>
        <w:rFonts w:cs="Times New Roman"/>
        <w:smallCaps/>
        <w:color w:val="808080" w:themeColor="background1" w:themeShade="80"/>
        <w:sz w:val="13"/>
        <w:szCs w:val="13"/>
      </w:rPr>
      <w:t xml:space="preserve">Tabela Jurnal Pertanian Berkelanjutan </w:t>
    </w:r>
    <w:r w:rsidR="00131727">
      <w:rPr>
        <w:rFonts w:cs="Times New Roman"/>
        <w:smallCaps/>
        <w:color w:val="808080" w:themeColor="background1" w:themeShade="80"/>
        <w:sz w:val="13"/>
        <w:szCs w:val="15"/>
      </w:rPr>
      <w:t>- Vol. 3 No. 2 (2025) Edisi Juli</w:t>
    </w:r>
    <w:r w:rsidR="00131727">
      <w:rPr>
        <w:rFonts w:cs="Times New Roman"/>
        <w:smallCaps/>
        <w:color w:val="808080" w:themeColor="background1" w:themeShade="80"/>
        <w:sz w:val="13"/>
        <w:szCs w:val="15"/>
      </w:rPr>
      <w:tab/>
      <w:t>ISSN 2962-8644 (Online)</w:t>
    </w:r>
  </w:p>
  <w:p w14:paraId="779DD754" w14:textId="486B5DAB" w:rsidR="00D40B2A" w:rsidRPr="00042A20" w:rsidRDefault="00D40B2A" w:rsidP="0004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04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0"/>
      <w:gridCol w:w="119"/>
    </w:tblGrid>
    <w:tr w:rsidR="001F7838" w:rsidRPr="00F94815" w14:paraId="7593398D" w14:textId="77777777" w:rsidTr="00047DB9">
      <w:trPr>
        <w:trHeight w:val="276"/>
      </w:trPr>
      <w:tc>
        <w:tcPr>
          <w:tcW w:w="12049" w:type="dxa"/>
          <w:gridSpan w:val="2"/>
        </w:tcPr>
        <w:p w14:paraId="642EE1A4" w14:textId="2CBAE201" w:rsidR="001F7838" w:rsidRPr="00D40B2A" w:rsidRDefault="00047DB9" w:rsidP="001F7838">
          <w:pPr>
            <w:pStyle w:val="Header"/>
            <w:jc w:val="center"/>
            <w:rPr>
              <w:rFonts w:cs="Times New Roman"/>
              <w:smallCaps/>
              <w:color w:val="808080" w:themeColor="background1" w:themeShade="80"/>
              <w:sz w:val="13"/>
              <w:szCs w:val="13"/>
            </w:rPr>
          </w:pPr>
          <w:r>
            <w:rPr>
              <w:noProof/>
            </w:rPr>
            <w:drawing>
              <wp:inline distT="0" distB="0" distL="0" distR="0" wp14:anchorId="31887CB1" wp14:editId="355D7BAC">
                <wp:extent cx="7581900" cy="1055302"/>
                <wp:effectExtent l="0" t="0" r="0" b="0"/>
                <wp:docPr id="1621859284" name="Picture 162185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050" cy="1059220"/>
                        </a:xfrm>
                        <a:prstGeom prst="rect">
                          <a:avLst/>
                        </a:prstGeom>
                        <a:noFill/>
                        <a:ln>
                          <a:noFill/>
                        </a:ln>
                      </pic:spPr>
                    </pic:pic>
                  </a:graphicData>
                </a:graphic>
              </wp:inline>
            </w:drawing>
          </w:r>
        </w:p>
      </w:tc>
    </w:tr>
    <w:tr w:rsidR="001F7838" w:rsidRPr="00F94815" w14:paraId="0D1667CE" w14:textId="77777777" w:rsidTr="00047DB9">
      <w:trPr>
        <w:gridAfter w:val="1"/>
        <w:wAfter w:w="119" w:type="dxa"/>
        <w:trHeight w:val="140"/>
      </w:trPr>
      <w:tc>
        <w:tcPr>
          <w:tcW w:w="11930" w:type="dxa"/>
        </w:tcPr>
        <w:p w14:paraId="2C13C26C" w14:textId="00E3C11C" w:rsidR="001F7838" w:rsidRPr="00F94815" w:rsidRDefault="001F7838" w:rsidP="001F7838">
          <w:pPr>
            <w:pStyle w:val="Header"/>
            <w:jc w:val="center"/>
            <w:rPr>
              <w:rFonts w:cs="Times New Roman"/>
              <w:color w:val="808080" w:themeColor="background1" w:themeShade="80"/>
              <w:sz w:val="13"/>
            </w:rPr>
          </w:pPr>
        </w:p>
      </w:tc>
    </w:tr>
  </w:tbl>
  <w:p w14:paraId="0CC329AB" w14:textId="1BB86DF1"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6035" w14:textId="7413CD36" w:rsidR="005977C2" w:rsidRPr="00042A20" w:rsidRDefault="000F2BE2" w:rsidP="005977C2">
    <w:pPr>
      <w:pStyle w:val="Header"/>
      <w:tabs>
        <w:tab w:val="clear" w:pos="9360"/>
        <w:tab w:val="right" w:pos="9639"/>
      </w:tabs>
    </w:pPr>
    <w:r w:rsidRPr="000F2BE2">
      <w:rPr>
        <w:rFonts w:cs="Times New Roman"/>
        <w:smallCaps/>
        <w:color w:val="808080" w:themeColor="background1" w:themeShade="80"/>
        <w:sz w:val="13"/>
        <w:szCs w:val="15"/>
      </w:rPr>
      <w:t>Hanafi Harun Sipayung</w:t>
    </w:r>
    <w:r w:rsidRPr="000F2BE2">
      <w:rPr>
        <w:rFonts w:cs="Times New Roman"/>
        <w:smallCaps/>
        <w:color w:val="808080" w:themeColor="background1" w:themeShade="80"/>
        <w:sz w:val="13"/>
        <w:szCs w:val="15"/>
      </w:rPr>
      <w:t xml:space="preserve"> </w:t>
    </w:r>
    <w:r w:rsidR="005977C2">
      <w:rPr>
        <w:rFonts w:cs="Times New Roman"/>
        <w:smallCaps/>
        <w:color w:val="808080" w:themeColor="background1" w:themeShade="80"/>
        <w:sz w:val="13"/>
        <w:szCs w:val="15"/>
      </w:rPr>
      <w:t xml:space="preserve">/ </w:t>
    </w:r>
    <w:r w:rsidR="005977C2">
      <w:rPr>
        <w:rFonts w:cs="Times New Roman"/>
        <w:smallCaps/>
        <w:color w:val="808080" w:themeColor="background1" w:themeShade="80"/>
        <w:sz w:val="13"/>
        <w:szCs w:val="13"/>
      </w:rPr>
      <w:t xml:space="preserve">Tabela Jurnal Pertanian Berkelanjutan </w:t>
    </w:r>
    <w:r w:rsidR="005977C2">
      <w:rPr>
        <w:rFonts w:cs="Times New Roman"/>
        <w:smallCaps/>
        <w:color w:val="808080" w:themeColor="background1" w:themeShade="80"/>
        <w:sz w:val="13"/>
        <w:szCs w:val="15"/>
      </w:rPr>
      <w:t>- Vol. 3 No. 2 (2025) Edisi Juli</w:t>
    </w:r>
    <w:r w:rsidR="005977C2">
      <w:rPr>
        <w:rFonts w:cs="Times New Roman"/>
        <w:smallCaps/>
        <w:color w:val="808080" w:themeColor="background1" w:themeShade="80"/>
        <w:sz w:val="13"/>
        <w:szCs w:val="15"/>
      </w:rPr>
      <w:tab/>
      <w:t>ISSN 2962-8644 (Online)</w:t>
    </w:r>
  </w:p>
  <w:p w14:paraId="2684395B" w14:textId="2F507D79" w:rsidR="00D40B2A" w:rsidRPr="00042A20" w:rsidRDefault="00D40B2A" w:rsidP="0004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E848D2"/>
    <w:multiLevelType w:val="hybridMultilevel"/>
    <w:tmpl w:val="AA7E4AE0"/>
    <w:lvl w:ilvl="0" w:tplc="EE20C626">
      <w:start w:val="1"/>
      <w:numFmt w:val="decimal"/>
      <w:lvlText w:val="%1."/>
      <w:lvlJc w:val="left"/>
      <w:pPr>
        <w:ind w:left="1237"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1B2A9E28">
      <w:numFmt w:val="bullet"/>
      <w:lvlText w:val="•"/>
      <w:lvlJc w:val="left"/>
      <w:pPr>
        <w:ind w:left="2080" w:hanging="240"/>
      </w:pPr>
      <w:rPr>
        <w:rFonts w:hint="default"/>
        <w:lang w:val="id" w:eastAsia="en-US" w:bidi="ar-SA"/>
      </w:rPr>
    </w:lvl>
    <w:lvl w:ilvl="2" w:tplc="E0C45144">
      <w:numFmt w:val="bullet"/>
      <w:lvlText w:val="•"/>
      <w:lvlJc w:val="left"/>
      <w:pPr>
        <w:ind w:left="2920" w:hanging="240"/>
      </w:pPr>
      <w:rPr>
        <w:rFonts w:hint="default"/>
        <w:lang w:val="id" w:eastAsia="en-US" w:bidi="ar-SA"/>
      </w:rPr>
    </w:lvl>
    <w:lvl w:ilvl="3" w:tplc="2324797A">
      <w:numFmt w:val="bullet"/>
      <w:lvlText w:val="•"/>
      <w:lvlJc w:val="left"/>
      <w:pPr>
        <w:ind w:left="3760" w:hanging="240"/>
      </w:pPr>
      <w:rPr>
        <w:rFonts w:hint="default"/>
        <w:lang w:val="id" w:eastAsia="en-US" w:bidi="ar-SA"/>
      </w:rPr>
    </w:lvl>
    <w:lvl w:ilvl="4" w:tplc="ACAEFA7E">
      <w:numFmt w:val="bullet"/>
      <w:lvlText w:val="•"/>
      <w:lvlJc w:val="left"/>
      <w:pPr>
        <w:ind w:left="4600" w:hanging="240"/>
      </w:pPr>
      <w:rPr>
        <w:rFonts w:hint="default"/>
        <w:lang w:val="id" w:eastAsia="en-US" w:bidi="ar-SA"/>
      </w:rPr>
    </w:lvl>
    <w:lvl w:ilvl="5" w:tplc="778CDB40">
      <w:numFmt w:val="bullet"/>
      <w:lvlText w:val="•"/>
      <w:lvlJc w:val="left"/>
      <w:pPr>
        <w:ind w:left="5441" w:hanging="240"/>
      </w:pPr>
      <w:rPr>
        <w:rFonts w:hint="default"/>
        <w:lang w:val="id" w:eastAsia="en-US" w:bidi="ar-SA"/>
      </w:rPr>
    </w:lvl>
    <w:lvl w:ilvl="6" w:tplc="A23413A0">
      <w:numFmt w:val="bullet"/>
      <w:lvlText w:val="•"/>
      <w:lvlJc w:val="left"/>
      <w:pPr>
        <w:ind w:left="6281" w:hanging="240"/>
      </w:pPr>
      <w:rPr>
        <w:rFonts w:hint="default"/>
        <w:lang w:val="id" w:eastAsia="en-US" w:bidi="ar-SA"/>
      </w:rPr>
    </w:lvl>
    <w:lvl w:ilvl="7" w:tplc="3156FC3C">
      <w:numFmt w:val="bullet"/>
      <w:lvlText w:val="•"/>
      <w:lvlJc w:val="left"/>
      <w:pPr>
        <w:ind w:left="7121" w:hanging="240"/>
      </w:pPr>
      <w:rPr>
        <w:rFonts w:hint="default"/>
        <w:lang w:val="id" w:eastAsia="en-US" w:bidi="ar-SA"/>
      </w:rPr>
    </w:lvl>
    <w:lvl w:ilvl="8" w:tplc="30989A7C">
      <w:numFmt w:val="bullet"/>
      <w:lvlText w:val="•"/>
      <w:lvlJc w:val="left"/>
      <w:pPr>
        <w:ind w:left="7961" w:hanging="240"/>
      </w:pPr>
      <w:rPr>
        <w:rFonts w:hint="default"/>
        <w:lang w:val="id" w:eastAsia="en-US" w:bidi="ar-SA"/>
      </w:rPr>
    </w:lvl>
  </w:abstractNum>
  <w:abstractNum w:abstractNumId="2"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332F8F"/>
    <w:multiLevelType w:val="multilevel"/>
    <w:tmpl w:val="56986C26"/>
    <w:lvl w:ilvl="0">
      <w:start w:val="5"/>
      <w:numFmt w:val="decimal"/>
      <w:lvlText w:val="%1"/>
      <w:lvlJc w:val="left"/>
      <w:pPr>
        <w:ind w:left="929" w:hanging="360"/>
        <w:jc w:val="left"/>
      </w:pPr>
      <w:rPr>
        <w:rFonts w:hint="default"/>
        <w:lang w:val="id" w:eastAsia="en-US" w:bidi="ar-SA"/>
      </w:rPr>
    </w:lvl>
    <w:lvl w:ilvl="1">
      <w:start w:val="1"/>
      <w:numFmt w:val="decimal"/>
      <w:lvlText w:val="%1.%2"/>
      <w:lvlJc w:val="left"/>
      <w:pPr>
        <w:ind w:left="92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485" w:hanging="360"/>
      </w:pPr>
      <w:rPr>
        <w:rFonts w:hint="default"/>
        <w:lang w:val="id" w:eastAsia="en-US" w:bidi="ar-SA"/>
      </w:rPr>
    </w:lvl>
    <w:lvl w:ilvl="4">
      <w:numFmt w:val="bullet"/>
      <w:lvlText w:val="•"/>
      <w:lvlJc w:val="left"/>
      <w:pPr>
        <w:ind w:left="1588" w:hanging="360"/>
      </w:pPr>
      <w:rPr>
        <w:rFonts w:hint="default"/>
        <w:lang w:val="id" w:eastAsia="en-US" w:bidi="ar-SA"/>
      </w:rPr>
    </w:lvl>
    <w:lvl w:ilvl="5">
      <w:numFmt w:val="bullet"/>
      <w:lvlText w:val="•"/>
      <w:lvlJc w:val="left"/>
      <w:pPr>
        <w:ind w:left="1691" w:hanging="360"/>
      </w:pPr>
      <w:rPr>
        <w:rFonts w:hint="default"/>
        <w:lang w:val="id" w:eastAsia="en-US" w:bidi="ar-SA"/>
      </w:rPr>
    </w:lvl>
    <w:lvl w:ilvl="6">
      <w:numFmt w:val="bullet"/>
      <w:lvlText w:val="•"/>
      <w:lvlJc w:val="left"/>
      <w:pPr>
        <w:ind w:left="1794" w:hanging="360"/>
      </w:pPr>
      <w:rPr>
        <w:rFonts w:hint="default"/>
        <w:lang w:val="id" w:eastAsia="en-US" w:bidi="ar-SA"/>
      </w:rPr>
    </w:lvl>
    <w:lvl w:ilvl="7">
      <w:numFmt w:val="bullet"/>
      <w:lvlText w:val="•"/>
      <w:lvlJc w:val="left"/>
      <w:pPr>
        <w:ind w:left="1897" w:hanging="360"/>
      </w:pPr>
      <w:rPr>
        <w:rFonts w:hint="default"/>
        <w:lang w:val="id" w:eastAsia="en-US" w:bidi="ar-SA"/>
      </w:rPr>
    </w:lvl>
    <w:lvl w:ilvl="8">
      <w:numFmt w:val="bullet"/>
      <w:lvlText w:val="•"/>
      <w:lvlJc w:val="left"/>
      <w:pPr>
        <w:ind w:left="2000" w:hanging="360"/>
      </w:pPr>
      <w:rPr>
        <w:rFonts w:hint="default"/>
        <w:lang w:val="id" w:eastAsia="en-US" w:bidi="ar-SA"/>
      </w:rPr>
    </w:lvl>
  </w:abstractNum>
  <w:abstractNum w:abstractNumId="6" w15:restartNumberingAfterBreak="0">
    <w:nsid w:val="381533F8"/>
    <w:multiLevelType w:val="hybridMultilevel"/>
    <w:tmpl w:val="EFB21CD0"/>
    <w:lvl w:ilvl="0" w:tplc="D9286C56">
      <w:start w:val="1"/>
      <w:numFmt w:val="decimal"/>
      <w:lvlText w:val="%1."/>
      <w:lvlJc w:val="left"/>
      <w:pPr>
        <w:ind w:left="1237"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96862C42">
      <w:numFmt w:val="bullet"/>
      <w:lvlText w:val="•"/>
      <w:lvlJc w:val="left"/>
      <w:pPr>
        <w:ind w:left="2080" w:hanging="240"/>
      </w:pPr>
      <w:rPr>
        <w:rFonts w:hint="default"/>
        <w:lang w:val="id" w:eastAsia="en-US" w:bidi="ar-SA"/>
      </w:rPr>
    </w:lvl>
    <w:lvl w:ilvl="2" w:tplc="5AD2B43E">
      <w:numFmt w:val="bullet"/>
      <w:lvlText w:val="•"/>
      <w:lvlJc w:val="left"/>
      <w:pPr>
        <w:ind w:left="2920" w:hanging="240"/>
      </w:pPr>
      <w:rPr>
        <w:rFonts w:hint="default"/>
        <w:lang w:val="id" w:eastAsia="en-US" w:bidi="ar-SA"/>
      </w:rPr>
    </w:lvl>
    <w:lvl w:ilvl="3" w:tplc="2D06AEEC">
      <w:numFmt w:val="bullet"/>
      <w:lvlText w:val="•"/>
      <w:lvlJc w:val="left"/>
      <w:pPr>
        <w:ind w:left="3760" w:hanging="240"/>
      </w:pPr>
      <w:rPr>
        <w:rFonts w:hint="default"/>
        <w:lang w:val="id" w:eastAsia="en-US" w:bidi="ar-SA"/>
      </w:rPr>
    </w:lvl>
    <w:lvl w:ilvl="4" w:tplc="3E40B15E">
      <w:numFmt w:val="bullet"/>
      <w:lvlText w:val="•"/>
      <w:lvlJc w:val="left"/>
      <w:pPr>
        <w:ind w:left="4600" w:hanging="240"/>
      </w:pPr>
      <w:rPr>
        <w:rFonts w:hint="default"/>
        <w:lang w:val="id" w:eastAsia="en-US" w:bidi="ar-SA"/>
      </w:rPr>
    </w:lvl>
    <w:lvl w:ilvl="5" w:tplc="F4AAB7E0">
      <w:numFmt w:val="bullet"/>
      <w:lvlText w:val="•"/>
      <w:lvlJc w:val="left"/>
      <w:pPr>
        <w:ind w:left="5441" w:hanging="240"/>
      </w:pPr>
      <w:rPr>
        <w:rFonts w:hint="default"/>
        <w:lang w:val="id" w:eastAsia="en-US" w:bidi="ar-SA"/>
      </w:rPr>
    </w:lvl>
    <w:lvl w:ilvl="6" w:tplc="8E8E53BE">
      <w:numFmt w:val="bullet"/>
      <w:lvlText w:val="•"/>
      <w:lvlJc w:val="left"/>
      <w:pPr>
        <w:ind w:left="6281" w:hanging="240"/>
      </w:pPr>
      <w:rPr>
        <w:rFonts w:hint="default"/>
        <w:lang w:val="id" w:eastAsia="en-US" w:bidi="ar-SA"/>
      </w:rPr>
    </w:lvl>
    <w:lvl w:ilvl="7" w:tplc="F712F50A">
      <w:numFmt w:val="bullet"/>
      <w:lvlText w:val="•"/>
      <w:lvlJc w:val="left"/>
      <w:pPr>
        <w:ind w:left="7121" w:hanging="240"/>
      </w:pPr>
      <w:rPr>
        <w:rFonts w:hint="default"/>
        <w:lang w:val="id" w:eastAsia="en-US" w:bidi="ar-SA"/>
      </w:rPr>
    </w:lvl>
    <w:lvl w:ilvl="8" w:tplc="042E9684">
      <w:numFmt w:val="bullet"/>
      <w:lvlText w:val="•"/>
      <w:lvlJc w:val="left"/>
      <w:pPr>
        <w:ind w:left="7961" w:hanging="240"/>
      </w:pPr>
      <w:rPr>
        <w:rFonts w:hint="default"/>
        <w:lang w:val="id" w:eastAsia="en-US" w:bidi="ar-SA"/>
      </w:rPr>
    </w:lvl>
  </w:abstractNum>
  <w:abstractNum w:abstractNumId="7"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F0434A"/>
    <w:multiLevelType w:val="hybridMultilevel"/>
    <w:tmpl w:val="3E9E96BE"/>
    <w:lvl w:ilvl="0" w:tplc="64464B4C">
      <w:start w:val="1"/>
      <w:numFmt w:val="decimal"/>
      <w:lvlText w:val="%1."/>
      <w:lvlJc w:val="left"/>
      <w:pPr>
        <w:ind w:left="1277" w:hanging="280"/>
      </w:pPr>
      <w:rPr>
        <w:rFonts w:ascii="Times New Roman" w:eastAsia="Times New Roman" w:hAnsi="Times New Roman" w:cs="Times New Roman" w:hint="default"/>
        <w:b/>
        <w:bCs/>
        <w:i w:val="0"/>
        <w:iCs w:val="0"/>
        <w:spacing w:val="0"/>
        <w:w w:val="100"/>
        <w:sz w:val="24"/>
        <w:szCs w:val="24"/>
        <w:lang w:val="id" w:eastAsia="en-US" w:bidi="ar-SA"/>
      </w:rPr>
    </w:lvl>
    <w:lvl w:ilvl="1" w:tplc="0B88CB26">
      <w:numFmt w:val="bullet"/>
      <w:lvlText w:val="•"/>
      <w:lvlJc w:val="left"/>
      <w:pPr>
        <w:ind w:left="2116" w:hanging="280"/>
      </w:pPr>
      <w:rPr>
        <w:rFonts w:hint="default"/>
        <w:lang w:val="id" w:eastAsia="en-US" w:bidi="ar-SA"/>
      </w:rPr>
    </w:lvl>
    <w:lvl w:ilvl="2" w:tplc="F0186ED2">
      <w:numFmt w:val="bullet"/>
      <w:lvlText w:val="•"/>
      <w:lvlJc w:val="left"/>
      <w:pPr>
        <w:ind w:left="2952" w:hanging="280"/>
      </w:pPr>
      <w:rPr>
        <w:rFonts w:hint="default"/>
        <w:lang w:val="id" w:eastAsia="en-US" w:bidi="ar-SA"/>
      </w:rPr>
    </w:lvl>
    <w:lvl w:ilvl="3" w:tplc="E5267BAC">
      <w:numFmt w:val="bullet"/>
      <w:lvlText w:val="•"/>
      <w:lvlJc w:val="left"/>
      <w:pPr>
        <w:ind w:left="3788" w:hanging="280"/>
      </w:pPr>
      <w:rPr>
        <w:rFonts w:hint="default"/>
        <w:lang w:val="id" w:eastAsia="en-US" w:bidi="ar-SA"/>
      </w:rPr>
    </w:lvl>
    <w:lvl w:ilvl="4" w:tplc="01300060">
      <w:numFmt w:val="bullet"/>
      <w:lvlText w:val="•"/>
      <w:lvlJc w:val="left"/>
      <w:pPr>
        <w:ind w:left="4624" w:hanging="280"/>
      </w:pPr>
      <w:rPr>
        <w:rFonts w:hint="default"/>
        <w:lang w:val="id" w:eastAsia="en-US" w:bidi="ar-SA"/>
      </w:rPr>
    </w:lvl>
    <w:lvl w:ilvl="5" w:tplc="C21ADBB4">
      <w:numFmt w:val="bullet"/>
      <w:lvlText w:val="•"/>
      <w:lvlJc w:val="left"/>
      <w:pPr>
        <w:ind w:left="5461" w:hanging="280"/>
      </w:pPr>
      <w:rPr>
        <w:rFonts w:hint="default"/>
        <w:lang w:val="id" w:eastAsia="en-US" w:bidi="ar-SA"/>
      </w:rPr>
    </w:lvl>
    <w:lvl w:ilvl="6" w:tplc="19CC1534">
      <w:numFmt w:val="bullet"/>
      <w:lvlText w:val="•"/>
      <w:lvlJc w:val="left"/>
      <w:pPr>
        <w:ind w:left="6297" w:hanging="280"/>
      </w:pPr>
      <w:rPr>
        <w:rFonts w:hint="default"/>
        <w:lang w:val="id" w:eastAsia="en-US" w:bidi="ar-SA"/>
      </w:rPr>
    </w:lvl>
    <w:lvl w:ilvl="7" w:tplc="B6D23A8A">
      <w:numFmt w:val="bullet"/>
      <w:lvlText w:val="•"/>
      <w:lvlJc w:val="left"/>
      <w:pPr>
        <w:ind w:left="7133" w:hanging="280"/>
      </w:pPr>
      <w:rPr>
        <w:rFonts w:hint="default"/>
        <w:lang w:val="id" w:eastAsia="en-US" w:bidi="ar-SA"/>
      </w:rPr>
    </w:lvl>
    <w:lvl w:ilvl="8" w:tplc="3044104C">
      <w:numFmt w:val="bullet"/>
      <w:lvlText w:val="•"/>
      <w:lvlJc w:val="left"/>
      <w:pPr>
        <w:ind w:left="7969" w:hanging="280"/>
      </w:pPr>
      <w:rPr>
        <w:rFonts w:hint="default"/>
        <w:lang w:val="id" w:eastAsia="en-US" w:bidi="ar-SA"/>
      </w:rPr>
    </w:lvl>
  </w:abstractNum>
  <w:abstractNum w:abstractNumId="10"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689521117">
    <w:abstractNumId w:val="7"/>
  </w:num>
  <w:num w:numId="2" w16cid:durableId="1339653531">
    <w:abstractNumId w:val="3"/>
  </w:num>
  <w:num w:numId="3" w16cid:durableId="441875547">
    <w:abstractNumId w:val="10"/>
  </w:num>
  <w:num w:numId="4" w16cid:durableId="525025972">
    <w:abstractNumId w:val="2"/>
  </w:num>
  <w:num w:numId="5" w16cid:durableId="1442340757">
    <w:abstractNumId w:val="0"/>
  </w:num>
  <w:num w:numId="6" w16cid:durableId="155462734">
    <w:abstractNumId w:val="4"/>
  </w:num>
  <w:num w:numId="7" w16cid:durableId="1903561699">
    <w:abstractNumId w:val="8"/>
  </w:num>
  <w:num w:numId="8" w16cid:durableId="1046638463">
    <w:abstractNumId w:val="11"/>
  </w:num>
  <w:num w:numId="9" w16cid:durableId="255291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3066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454827">
    <w:abstractNumId w:val="6"/>
  </w:num>
  <w:num w:numId="12" w16cid:durableId="1238251365">
    <w:abstractNumId w:val="1"/>
  </w:num>
  <w:num w:numId="13" w16cid:durableId="106627473">
    <w:abstractNumId w:val="9"/>
  </w:num>
  <w:num w:numId="14" w16cid:durableId="1662925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5"/>
    <w:rsid w:val="0000162B"/>
    <w:rsid w:val="000068BB"/>
    <w:rsid w:val="00007316"/>
    <w:rsid w:val="00011D2B"/>
    <w:rsid w:val="00015FB6"/>
    <w:rsid w:val="00017CD8"/>
    <w:rsid w:val="000258D0"/>
    <w:rsid w:val="00031B0D"/>
    <w:rsid w:val="00035BCD"/>
    <w:rsid w:val="00036321"/>
    <w:rsid w:val="00042A20"/>
    <w:rsid w:val="000430D4"/>
    <w:rsid w:val="000467AC"/>
    <w:rsid w:val="00046DF5"/>
    <w:rsid w:val="00047DB9"/>
    <w:rsid w:val="00052457"/>
    <w:rsid w:val="0005333F"/>
    <w:rsid w:val="000579B9"/>
    <w:rsid w:val="0006327F"/>
    <w:rsid w:val="00070193"/>
    <w:rsid w:val="00070EE2"/>
    <w:rsid w:val="000810F0"/>
    <w:rsid w:val="00084DA2"/>
    <w:rsid w:val="00085C73"/>
    <w:rsid w:val="00091D97"/>
    <w:rsid w:val="00092F0B"/>
    <w:rsid w:val="00093CFF"/>
    <w:rsid w:val="00095E1F"/>
    <w:rsid w:val="000A79F8"/>
    <w:rsid w:val="000B74FA"/>
    <w:rsid w:val="000C01AA"/>
    <w:rsid w:val="000C0B34"/>
    <w:rsid w:val="000C3B27"/>
    <w:rsid w:val="000D01D6"/>
    <w:rsid w:val="000D24FA"/>
    <w:rsid w:val="000D3E00"/>
    <w:rsid w:val="000D58BD"/>
    <w:rsid w:val="000E0258"/>
    <w:rsid w:val="000E219A"/>
    <w:rsid w:val="000E3FBF"/>
    <w:rsid w:val="000F0688"/>
    <w:rsid w:val="000F2BE2"/>
    <w:rsid w:val="000F3CEB"/>
    <w:rsid w:val="000F75FB"/>
    <w:rsid w:val="000F7B8A"/>
    <w:rsid w:val="00104A55"/>
    <w:rsid w:val="00112A22"/>
    <w:rsid w:val="00124635"/>
    <w:rsid w:val="00127E3F"/>
    <w:rsid w:val="00131300"/>
    <w:rsid w:val="00131727"/>
    <w:rsid w:val="00135E17"/>
    <w:rsid w:val="001415BD"/>
    <w:rsid w:val="00146411"/>
    <w:rsid w:val="001578AB"/>
    <w:rsid w:val="001702B9"/>
    <w:rsid w:val="001729D5"/>
    <w:rsid w:val="00185421"/>
    <w:rsid w:val="00185A1E"/>
    <w:rsid w:val="001862E6"/>
    <w:rsid w:val="00186B87"/>
    <w:rsid w:val="00191C2F"/>
    <w:rsid w:val="00193642"/>
    <w:rsid w:val="00197FAF"/>
    <w:rsid w:val="001A0587"/>
    <w:rsid w:val="001A3165"/>
    <w:rsid w:val="001A3488"/>
    <w:rsid w:val="001A5E88"/>
    <w:rsid w:val="001B5339"/>
    <w:rsid w:val="001B734D"/>
    <w:rsid w:val="001C00C2"/>
    <w:rsid w:val="001D3E1E"/>
    <w:rsid w:val="001D48F8"/>
    <w:rsid w:val="001D7F61"/>
    <w:rsid w:val="001F042D"/>
    <w:rsid w:val="001F4AFD"/>
    <w:rsid w:val="001F58ED"/>
    <w:rsid w:val="001F6096"/>
    <w:rsid w:val="001F663A"/>
    <w:rsid w:val="001F698F"/>
    <w:rsid w:val="001F7838"/>
    <w:rsid w:val="0020458C"/>
    <w:rsid w:val="0020513F"/>
    <w:rsid w:val="002066AC"/>
    <w:rsid w:val="002104E8"/>
    <w:rsid w:val="00211D3C"/>
    <w:rsid w:val="002122FF"/>
    <w:rsid w:val="002126F4"/>
    <w:rsid w:val="002233D3"/>
    <w:rsid w:val="00234E7E"/>
    <w:rsid w:val="00240CB3"/>
    <w:rsid w:val="00246BF1"/>
    <w:rsid w:val="00247C7B"/>
    <w:rsid w:val="00252FF6"/>
    <w:rsid w:val="00256E52"/>
    <w:rsid w:val="00257861"/>
    <w:rsid w:val="0026251E"/>
    <w:rsid w:val="002628E8"/>
    <w:rsid w:val="00271758"/>
    <w:rsid w:val="00272110"/>
    <w:rsid w:val="00272DC6"/>
    <w:rsid w:val="00273D24"/>
    <w:rsid w:val="00275DFD"/>
    <w:rsid w:val="002760E8"/>
    <w:rsid w:val="00277701"/>
    <w:rsid w:val="00281459"/>
    <w:rsid w:val="00282CB7"/>
    <w:rsid w:val="00287362"/>
    <w:rsid w:val="002916F8"/>
    <w:rsid w:val="0029228F"/>
    <w:rsid w:val="002925E1"/>
    <w:rsid w:val="00294EE9"/>
    <w:rsid w:val="002A178F"/>
    <w:rsid w:val="002A4CC8"/>
    <w:rsid w:val="002C306A"/>
    <w:rsid w:val="002C73B5"/>
    <w:rsid w:val="002D048B"/>
    <w:rsid w:val="002D15B4"/>
    <w:rsid w:val="002E1003"/>
    <w:rsid w:val="002E4B49"/>
    <w:rsid w:val="002E5AFB"/>
    <w:rsid w:val="002E67E0"/>
    <w:rsid w:val="002F21EA"/>
    <w:rsid w:val="002F6156"/>
    <w:rsid w:val="00300F23"/>
    <w:rsid w:val="00301EB8"/>
    <w:rsid w:val="00303ACB"/>
    <w:rsid w:val="003114C0"/>
    <w:rsid w:val="00313D5F"/>
    <w:rsid w:val="00317952"/>
    <w:rsid w:val="00321C9B"/>
    <w:rsid w:val="00323032"/>
    <w:rsid w:val="0032352B"/>
    <w:rsid w:val="00325552"/>
    <w:rsid w:val="003364C6"/>
    <w:rsid w:val="00340149"/>
    <w:rsid w:val="0034186B"/>
    <w:rsid w:val="00350EEE"/>
    <w:rsid w:val="003522DA"/>
    <w:rsid w:val="00352BD6"/>
    <w:rsid w:val="00356858"/>
    <w:rsid w:val="00360952"/>
    <w:rsid w:val="00360D4D"/>
    <w:rsid w:val="00362378"/>
    <w:rsid w:val="00370D85"/>
    <w:rsid w:val="00373E08"/>
    <w:rsid w:val="00376A9F"/>
    <w:rsid w:val="00380282"/>
    <w:rsid w:val="003855E8"/>
    <w:rsid w:val="003913E1"/>
    <w:rsid w:val="003A0654"/>
    <w:rsid w:val="003A0B3F"/>
    <w:rsid w:val="003A1727"/>
    <w:rsid w:val="003B0FB3"/>
    <w:rsid w:val="003C226F"/>
    <w:rsid w:val="003C32C6"/>
    <w:rsid w:val="003C494E"/>
    <w:rsid w:val="003D39FF"/>
    <w:rsid w:val="003D57D1"/>
    <w:rsid w:val="003E1D17"/>
    <w:rsid w:val="003E43EF"/>
    <w:rsid w:val="003E61F0"/>
    <w:rsid w:val="003F3F13"/>
    <w:rsid w:val="003F42CA"/>
    <w:rsid w:val="003F4410"/>
    <w:rsid w:val="0040284B"/>
    <w:rsid w:val="00405AE2"/>
    <w:rsid w:val="00405CA9"/>
    <w:rsid w:val="00413ABA"/>
    <w:rsid w:val="00413AF5"/>
    <w:rsid w:val="004143C8"/>
    <w:rsid w:val="00415A10"/>
    <w:rsid w:val="0042137B"/>
    <w:rsid w:val="00422A72"/>
    <w:rsid w:val="0042365F"/>
    <w:rsid w:val="0042705C"/>
    <w:rsid w:val="00430B78"/>
    <w:rsid w:val="004356F6"/>
    <w:rsid w:val="00435FA7"/>
    <w:rsid w:val="00437055"/>
    <w:rsid w:val="004422EB"/>
    <w:rsid w:val="004450BF"/>
    <w:rsid w:val="004527D9"/>
    <w:rsid w:val="00460C90"/>
    <w:rsid w:val="0046152C"/>
    <w:rsid w:val="00463605"/>
    <w:rsid w:val="004667FC"/>
    <w:rsid w:val="00466D11"/>
    <w:rsid w:val="00467A2E"/>
    <w:rsid w:val="004703EA"/>
    <w:rsid w:val="0047112A"/>
    <w:rsid w:val="00480E0F"/>
    <w:rsid w:val="00480F8F"/>
    <w:rsid w:val="00487188"/>
    <w:rsid w:val="00487513"/>
    <w:rsid w:val="004A0AC7"/>
    <w:rsid w:val="004B007C"/>
    <w:rsid w:val="004B11FC"/>
    <w:rsid w:val="004B2D85"/>
    <w:rsid w:val="004D00EC"/>
    <w:rsid w:val="004D23AC"/>
    <w:rsid w:val="004D5B13"/>
    <w:rsid w:val="004D5CCB"/>
    <w:rsid w:val="004D5EC4"/>
    <w:rsid w:val="004D7A59"/>
    <w:rsid w:val="004E0E80"/>
    <w:rsid w:val="004E230E"/>
    <w:rsid w:val="004E6AF5"/>
    <w:rsid w:val="004E717B"/>
    <w:rsid w:val="004F1B57"/>
    <w:rsid w:val="004F3DCD"/>
    <w:rsid w:val="004F4722"/>
    <w:rsid w:val="0050566B"/>
    <w:rsid w:val="005063D1"/>
    <w:rsid w:val="00506ECF"/>
    <w:rsid w:val="00511A3F"/>
    <w:rsid w:val="005150F3"/>
    <w:rsid w:val="005206ED"/>
    <w:rsid w:val="00520D85"/>
    <w:rsid w:val="005228A2"/>
    <w:rsid w:val="00526955"/>
    <w:rsid w:val="00526CF1"/>
    <w:rsid w:val="00530026"/>
    <w:rsid w:val="00532FEF"/>
    <w:rsid w:val="00534621"/>
    <w:rsid w:val="0054572F"/>
    <w:rsid w:val="00547767"/>
    <w:rsid w:val="00547A23"/>
    <w:rsid w:val="00555BAF"/>
    <w:rsid w:val="005614FB"/>
    <w:rsid w:val="00567934"/>
    <w:rsid w:val="005701B9"/>
    <w:rsid w:val="00571A35"/>
    <w:rsid w:val="0057363F"/>
    <w:rsid w:val="005741F6"/>
    <w:rsid w:val="005755A4"/>
    <w:rsid w:val="005762C8"/>
    <w:rsid w:val="0057668F"/>
    <w:rsid w:val="005773F8"/>
    <w:rsid w:val="005860EF"/>
    <w:rsid w:val="0058669F"/>
    <w:rsid w:val="00587578"/>
    <w:rsid w:val="00587AA0"/>
    <w:rsid w:val="00596CB5"/>
    <w:rsid w:val="005977C2"/>
    <w:rsid w:val="005A2516"/>
    <w:rsid w:val="005A3270"/>
    <w:rsid w:val="005A5AAA"/>
    <w:rsid w:val="005B0CEC"/>
    <w:rsid w:val="005B3AD1"/>
    <w:rsid w:val="005B5F65"/>
    <w:rsid w:val="005C1634"/>
    <w:rsid w:val="005C166E"/>
    <w:rsid w:val="005C7A45"/>
    <w:rsid w:val="005D33C3"/>
    <w:rsid w:val="005D3F40"/>
    <w:rsid w:val="005D3FCA"/>
    <w:rsid w:val="005D4A61"/>
    <w:rsid w:val="005D5DAC"/>
    <w:rsid w:val="005D6E58"/>
    <w:rsid w:val="005F553A"/>
    <w:rsid w:val="005F7A3D"/>
    <w:rsid w:val="006023C5"/>
    <w:rsid w:val="00611097"/>
    <w:rsid w:val="00612A25"/>
    <w:rsid w:val="00614C5D"/>
    <w:rsid w:val="00620162"/>
    <w:rsid w:val="00623B80"/>
    <w:rsid w:val="006262EB"/>
    <w:rsid w:val="00626867"/>
    <w:rsid w:val="00634733"/>
    <w:rsid w:val="00636202"/>
    <w:rsid w:val="006421F8"/>
    <w:rsid w:val="006423D1"/>
    <w:rsid w:val="006430B2"/>
    <w:rsid w:val="00643A4C"/>
    <w:rsid w:val="006479F8"/>
    <w:rsid w:val="00653CA0"/>
    <w:rsid w:val="00657049"/>
    <w:rsid w:val="00661193"/>
    <w:rsid w:val="00662E8B"/>
    <w:rsid w:val="00663466"/>
    <w:rsid w:val="00665931"/>
    <w:rsid w:val="00666412"/>
    <w:rsid w:val="00667523"/>
    <w:rsid w:val="00674C35"/>
    <w:rsid w:val="00674E5B"/>
    <w:rsid w:val="00676959"/>
    <w:rsid w:val="00677457"/>
    <w:rsid w:val="006803E0"/>
    <w:rsid w:val="00682689"/>
    <w:rsid w:val="00683311"/>
    <w:rsid w:val="00683A6E"/>
    <w:rsid w:val="00684667"/>
    <w:rsid w:val="00685E3E"/>
    <w:rsid w:val="00686B1B"/>
    <w:rsid w:val="00691A52"/>
    <w:rsid w:val="00691B5B"/>
    <w:rsid w:val="00692BC5"/>
    <w:rsid w:val="0069429B"/>
    <w:rsid w:val="00695232"/>
    <w:rsid w:val="00696EF2"/>
    <w:rsid w:val="006A5F5F"/>
    <w:rsid w:val="006B620A"/>
    <w:rsid w:val="006B6EB3"/>
    <w:rsid w:val="006C06A2"/>
    <w:rsid w:val="006C1F5C"/>
    <w:rsid w:val="006C21AE"/>
    <w:rsid w:val="006D721A"/>
    <w:rsid w:val="006E4F8F"/>
    <w:rsid w:val="006F1606"/>
    <w:rsid w:val="006F1EB9"/>
    <w:rsid w:val="006F1F37"/>
    <w:rsid w:val="006F32CE"/>
    <w:rsid w:val="006F4D04"/>
    <w:rsid w:val="00702594"/>
    <w:rsid w:val="00702EB2"/>
    <w:rsid w:val="00703503"/>
    <w:rsid w:val="00707981"/>
    <w:rsid w:val="00720926"/>
    <w:rsid w:val="007220CD"/>
    <w:rsid w:val="00725196"/>
    <w:rsid w:val="007267C6"/>
    <w:rsid w:val="00733128"/>
    <w:rsid w:val="007333A9"/>
    <w:rsid w:val="007401CD"/>
    <w:rsid w:val="0074149A"/>
    <w:rsid w:val="0074171C"/>
    <w:rsid w:val="007452F0"/>
    <w:rsid w:val="00750DF5"/>
    <w:rsid w:val="00751D7C"/>
    <w:rsid w:val="00754AA5"/>
    <w:rsid w:val="00755940"/>
    <w:rsid w:val="00756B91"/>
    <w:rsid w:val="00757047"/>
    <w:rsid w:val="00760B6E"/>
    <w:rsid w:val="007648F5"/>
    <w:rsid w:val="00765263"/>
    <w:rsid w:val="00766B87"/>
    <w:rsid w:val="00771E58"/>
    <w:rsid w:val="0077402E"/>
    <w:rsid w:val="00774F76"/>
    <w:rsid w:val="007815CE"/>
    <w:rsid w:val="00786DA0"/>
    <w:rsid w:val="007878F3"/>
    <w:rsid w:val="007929B6"/>
    <w:rsid w:val="007964CF"/>
    <w:rsid w:val="0079726A"/>
    <w:rsid w:val="007A129A"/>
    <w:rsid w:val="007B0EBD"/>
    <w:rsid w:val="007B317F"/>
    <w:rsid w:val="007B3BBF"/>
    <w:rsid w:val="007B7182"/>
    <w:rsid w:val="007C1C74"/>
    <w:rsid w:val="007C4065"/>
    <w:rsid w:val="007C58D0"/>
    <w:rsid w:val="007D2ADF"/>
    <w:rsid w:val="007D49B8"/>
    <w:rsid w:val="007D7E58"/>
    <w:rsid w:val="007E3743"/>
    <w:rsid w:val="007E50C9"/>
    <w:rsid w:val="007F28C6"/>
    <w:rsid w:val="007F3B5E"/>
    <w:rsid w:val="007F55A2"/>
    <w:rsid w:val="007F67ED"/>
    <w:rsid w:val="007F7149"/>
    <w:rsid w:val="0080056D"/>
    <w:rsid w:val="0081098A"/>
    <w:rsid w:val="0081247A"/>
    <w:rsid w:val="00814069"/>
    <w:rsid w:val="008144F3"/>
    <w:rsid w:val="00816100"/>
    <w:rsid w:val="0081737A"/>
    <w:rsid w:val="008202F2"/>
    <w:rsid w:val="00821FD3"/>
    <w:rsid w:val="0082377F"/>
    <w:rsid w:val="0082656F"/>
    <w:rsid w:val="008303A7"/>
    <w:rsid w:val="00831E19"/>
    <w:rsid w:val="00832E06"/>
    <w:rsid w:val="00836C54"/>
    <w:rsid w:val="00840163"/>
    <w:rsid w:val="00841678"/>
    <w:rsid w:val="0085514F"/>
    <w:rsid w:val="00855519"/>
    <w:rsid w:val="00855645"/>
    <w:rsid w:val="00863B5B"/>
    <w:rsid w:val="00864389"/>
    <w:rsid w:val="00867181"/>
    <w:rsid w:val="00876DD4"/>
    <w:rsid w:val="00877DEE"/>
    <w:rsid w:val="00886EF8"/>
    <w:rsid w:val="00887C21"/>
    <w:rsid w:val="008932F9"/>
    <w:rsid w:val="00893424"/>
    <w:rsid w:val="008B131C"/>
    <w:rsid w:val="008B4B7E"/>
    <w:rsid w:val="008B5272"/>
    <w:rsid w:val="008C33BB"/>
    <w:rsid w:val="008C5E5E"/>
    <w:rsid w:val="008C749A"/>
    <w:rsid w:val="008D78AC"/>
    <w:rsid w:val="008E1A51"/>
    <w:rsid w:val="008E38DA"/>
    <w:rsid w:val="008E6BF6"/>
    <w:rsid w:val="008E6C95"/>
    <w:rsid w:val="008E72D2"/>
    <w:rsid w:val="008E7F02"/>
    <w:rsid w:val="008F2931"/>
    <w:rsid w:val="008F47C2"/>
    <w:rsid w:val="008F7DD9"/>
    <w:rsid w:val="009045A4"/>
    <w:rsid w:val="009154A4"/>
    <w:rsid w:val="009269D7"/>
    <w:rsid w:val="00926D08"/>
    <w:rsid w:val="00930770"/>
    <w:rsid w:val="009317FA"/>
    <w:rsid w:val="00934CA6"/>
    <w:rsid w:val="009414B7"/>
    <w:rsid w:val="009420D6"/>
    <w:rsid w:val="009547F1"/>
    <w:rsid w:val="00956ED4"/>
    <w:rsid w:val="00956FA1"/>
    <w:rsid w:val="00964614"/>
    <w:rsid w:val="009647D2"/>
    <w:rsid w:val="0096659F"/>
    <w:rsid w:val="00981DEE"/>
    <w:rsid w:val="00982066"/>
    <w:rsid w:val="00986876"/>
    <w:rsid w:val="00990602"/>
    <w:rsid w:val="009927D5"/>
    <w:rsid w:val="009944DF"/>
    <w:rsid w:val="009970DF"/>
    <w:rsid w:val="009A20B8"/>
    <w:rsid w:val="009B03D2"/>
    <w:rsid w:val="009B2215"/>
    <w:rsid w:val="009B7DB6"/>
    <w:rsid w:val="009C235B"/>
    <w:rsid w:val="009C2F97"/>
    <w:rsid w:val="009C3F8F"/>
    <w:rsid w:val="009C52FA"/>
    <w:rsid w:val="009D395B"/>
    <w:rsid w:val="009D56B1"/>
    <w:rsid w:val="009D740E"/>
    <w:rsid w:val="009D7DFD"/>
    <w:rsid w:val="009E04C4"/>
    <w:rsid w:val="009E06C5"/>
    <w:rsid w:val="009E182E"/>
    <w:rsid w:val="009E7351"/>
    <w:rsid w:val="009F29DB"/>
    <w:rsid w:val="009F4BD9"/>
    <w:rsid w:val="00A13F36"/>
    <w:rsid w:val="00A144A9"/>
    <w:rsid w:val="00A167CD"/>
    <w:rsid w:val="00A2350F"/>
    <w:rsid w:val="00A253CE"/>
    <w:rsid w:val="00A2693A"/>
    <w:rsid w:val="00A26C49"/>
    <w:rsid w:val="00A3000C"/>
    <w:rsid w:val="00A3204B"/>
    <w:rsid w:val="00A35013"/>
    <w:rsid w:val="00A35E7A"/>
    <w:rsid w:val="00A43F19"/>
    <w:rsid w:val="00A461FB"/>
    <w:rsid w:val="00A55068"/>
    <w:rsid w:val="00A62D65"/>
    <w:rsid w:val="00A64176"/>
    <w:rsid w:val="00A753E5"/>
    <w:rsid w:val="00A773A4"/>
    <w:rsid w:val="00A864D5"/>
    <w:rsid w:val="00A8713D"/>
    <w:rsid w:val="00A94409"/>
    <w:rsid w:val="00A959D8"/>
    <w:rsid w:val="00A9601B"/>
    <w:rsid w:val="00A97CE5"/>
    <w:rsid w:val="00AA5BA5"/>
    <w:rsid w:val="00AB321D"/>
    <w:rsid w:val="00AC4833"/>
    <w:rsid w:val="00AC60F1"/>
    <w:rsid w:val="00AD416F"/>
    <w:rsid w:val="00AE36E7"/>
    <w:rsid w:val="00AF349B"/>
    <w:rsid w:val="00B055F9"/>
    <w:rsid w:val="00B05A05"/>
    <w:rsid w:val="00B1087F"/>
    <w:rsid w:val="00B11859"/>
    <w:rsid w:val="00B11BA5"/>
    <w:rsid w:val="00B11CAC"/>
    <w:rsid w:val="00B1530B"/>
    <w:rsid w:val="00B16517"/>
    <w:rsid w:val="00B275B5"/>
    <w:rsid w:val="00B32E6F"/>
    <w:rsid w:val="00B359E9"/>
    <w:rsid w:val="00B36045"/>
    <w:rsid w:val="00B43F07"/>
    <w:rsid w:val="00B44B33"/>
    <w:rsid w:val="00B46C2E"/>
    <w:rsid w:val="00B5061E"/>
    <w:rsid w:val="00B50B85"/>
    <w:rsid w:val="00B5225B"/>
    <w:rsid w:val="00B6153C"/>
    <w:rsid w:val="00B6288F"/>
    <w:rsid w:val="00B62E05"/>
    <w:rsid w:val="00B64989"/>
    <w:rsid w:val="00B64D2A"/>
    <w:rsid w:val="00B65944"/>
    <w:rsid w:val="00B660CA"/>
    <w:rsid w:val="00B7010C"/>
    <w:rsid w:val="00B74600"/>
    <w:rsid w:val="00B83CBF"/>
    <w:rsid w:val="00B83FF2"/>
    <w:rsid w:val="00B90752"/>
    <w:rsid w:val="00B92F5A"/>
    <w:rsid w:val="00B93860"/>
    <w:rsid w:val="00B94C6A"/>
    <w:rsid w:val="00B9758A"/>
    <w:rsid w:val="00BA11E6"/>
    <w:rsid w:val="00BA1DFD"/>
    <w:rsid w:val="00BA4BCE"/>
    <w:rsid w:val="00BA5793"/>
    <w:rsid w:val="00BA712E"/>
    <w:rsid w:val="00BB5239"/>
    <w:rsid w:val="00BB6ECE"/>
    <w:rsid w:val="00BC32EA"/>
    <w:rsid w:val="00BD0BEB"/>
    <w:rsid w:val="00BD47CB"/>
    <w:rsid w:val="00BE7ABB"/>
    <w:rsid w:val="00BF07CD"/>
    <w:rsid w:val="00BF30E8"/>
    <w:rsid w:val="00BF6758"/>
    <w:rsid w:val="00BF7763"/>
    <w:rsid w:val="00C0776A"/>
    <w:rsid w:val="00C113CF"/>
    <w:rsid w:val="00C15522"/>
    <w:rsid w:val="00C15F4E"/>
    <w:rsid w:val="00C219EE"/>
    <w:rsid w:val="00C25149"/>
    <w:rsid w:val="00C27C7D"/>
    <w:rsid w:val="00C27D6D"/>
    <w:rsid w:val="00C318F3"/>
    <w:rsid w:val="00C33A8D"/>
    <w:rsid w:val="00C35F46"/>
    <w:rsid w:val="00C371FF"/>
    <w:rsid w:val="00C40ACB"/>
    <w:rsid w:val="00C43E9A"/>
    <w:rsid w:val="00C56E09"/>
    <w:rsid w:val="00C61DEB"/>
    <w:rsid w:val="00C62D5E"/>
    <w:rsid w:val="00C6335F"/>
    <w:rsid w:val="00C70647"/>
    <w:rsid w:val="00C82F63"/>
    <w:rsid w:val="00C84023"/>
    <w:rsid w:val="00C86276"/>
    <w:rsid w:val="00C90265"/>
    <w:rsid w:val="00C92BEF"/>
    <w:rsid w:val="00C92BF4"/>
    <w:rsid w:val="00C93337"/>
    <w:rsid w:val="00C94772"/>
    <w:rsid w:val="00C95005"/>
    <w:rsid w:val="00C96843"/>
    <w:rsid w:val="00CA4650"/>
    <w:rsid w:val="00CC0CDF"/>
    <w:rsid w:val="00CC44A0"/>
    <w:rsid w:val="00CD08E5"/>
    <w:rsid w:val="00CD24E0"/>
    <w:rsid w:val="00CD43E7"/>
    <w:rsid w:val="00CD6D98"/>
    <w:rsid w:val="00CD73D6"/>
    <w:rsid w:val="00CE237C"/>
    <w:rsid w:val="00CE473A"/>
    <w:rsid w:val="00CF3153"/>
    <w:rsid w:val="00CF70BB"/>
    <w:rsid w:val="00CF7348"/>
    <w:rsid w:val="00D07901"/>
    <w:rsid w:val="00D07974"/>
    <w:rsid w:val="00D10AD1"/>
    <w:rsid w:val="00D1512F"/>
    <w:rsid w:val="00D16F81"/>
    <w:rsid w:val="00D1726B"/>
    <w:rsid w:val="00D22062"/>
    <w:rsid w:val="00D246F5"/>
    <w:rsid w:val="00D334A7"/>
    <w:rsid w:val="00D3744C"/>
    <w:rsid w:val="00D40B2A"/>
    <w:rsid w:val="00D43313"/>
    <w:rsid w:val="00D50273"/>
    <w:rsid w:val="00D55421"/>
    <w:rsid w:val="00D570CE"/>
    <w:rsid w:val="00D5751B"/>
    <w:rsid w:val="00D6056B"/>
    <w:rsid w:val="00D65445"/>
    <w:rsid w:val="00D71335"/>
    <w:rsid w:val="00D765A7"/>
    <w:rsid w:val="00D95E71"/>
    <w:rsid w:val="00D97477"/>
    <w:rsid w:val="00DA214F"/>
    <w:rsid w:val="00DC0E61"/>
    <w:rsid w:val="00DC1375"/>
    <w:rsid w:val="00DC580C"/>
    <w:rsid w:val="00DD1AB4"/>
    <w:rsid w:val="00DD237A"/>
    <w:rsid w:val="00DD2874"/>
    <w:rsid w:val="00DD49A1"/>
    <w:rsid w:val="00DD5F83"/>
    <w:rsid w:val="00DD7085"/>
    <w:rsid w:val="00DE0A94"/>
    <w:rsid w:val="00DE2EF3"/>
    <w:rsid w:val="00E01349"/>
    <w:rsid w:val="00E03CD7"/>
    <w:rsid w:val="00E045AD"/>
    <w:rsid w:val="00E13417"/>
    <w:rsid w:val="00E13C58"/>
    <w:rsid w:val="00E14D77"/>
    <w:rsid w:val="00E222B2"/>
    <w:rsid w:val="00E24013"/>
    <w:rsid w:val="00E336C8"/>
    <w:rsid w:val="00E37D34"/>
    <w:rsid w:val="00E41749"/>
    <w:rsid w:val="00E44AE5"/>
    <w:rsid w:val="00E47DE4"/>
    <w:rsid w:val="00E553D8"/>
    <w:rsid w:val="00E60515"/>
    <w:rsid w:val="00E61B91"/>
    <w:rsid w:val="00E625B6"/>
    <w:rsid w:val="00E72963"/>
    <w:rsid w:val="00E755FE"/>
    <w:rsid w:val="00E813D5"/>
    <w:rsid w:val="00E90426"/>
    <w:rsid w:val="00E911C4"/>
    <w:rsid w:val="00E94472"/>
    <w:rsid w:val="00E9461E"/>
    <w:rsid w:val="00EA07A3"/>
    <w:rsid w:val="00EB31F3"/>
    <w:rsid w:val="00EC191D"/>
    <w:rsid w:val="00EC3CB4"/>
    <w:rsid w:val="00ED0CAC"/>
    <w:rsid w:val="00ED6EEB"/>
    <w:rsid w:val="00EE40D4"/>
    <w:rsid w:val="00F074B5"/>
    <w:rsid w:val="00F155D9"/>
    <w:rsid w:val="00F169E9"/>
    <w:rsid w:val="00F17819"/>
    <w:rsid w:val="00F26DFC"/>
    <w:rsid w:val="00F31E71"/>
    <w:rsid w:val="00F36885"/>
    <w:rsid w:val="00F434DB"/>
    <w:rsid w:val="00F4406A"/>
    <w:rsid w:val="00F458E9"/>
    <w:rsid w:val="00F4645E"/>
    <w:rsid w:val="00F50F7D"/>
    <w:rsid w:val="00F60BFB"/>
    <w:rsid w:val="00F67BAF"/>
    <w:rsid w:val="00F67D83"/>
    <w:rsid w:val="00F74D9C"/>
    <w:rsid w:val="00F754D4"/>
    <w:rsid w:val="00F75665"/>
    <w:rsid w:val="00F76643"/>
    <w:rsid w:val="00F76DD6"/>
    <w:rsid w:val="00F81452"/>
    <w:rsid w:val="00F84525"/>
    <w:rsid w:val="00F848A2"/>
    <w:rsid w:val="00F87C88"/>
    <w:rsid w:val="00F9380E"/>
    <w:rsid w:val="00F94815"/>
    <w:rsid w:val="00FB1C73"/>
    <w:rsid w:val="00FB534C"/>
    <w:rsid w:val="00FE1216"/>
    <w:rsid w:val="00FE3DBF"/>
    <w:rsid w:val="00FE7F3A"/>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7BA57"/>
  <w15:docId w15:val="{B978FFAE-71D2-4FEC-B82C-B26FAF1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styleId="UnresolvedMention">
    <w:name w:val="Unresolved Mention"/>
    <w:basedOn w:val="DefaultParagraphFont"/>
    <w:uiPriority w:val="99"/>
    <w:semiHidden/>
    <w:unhideWhenUsed/>
    <w:rsid w:val="00C92BF4"/>
    <w:rPr>
      <w:color w:val="605E5C"/>
      <w:shd w:val="clear" w:color="auto" w:fill="E1DFDD"/>
    </w:rPr>
  </w:style>
  <w:style w:type="paragraph" w:styleId="BodyText">
    <w:name w:val="Body Text"/>
    <w:basedOn w:val="Normal"/>
    <w:link w:val="BodyTextChar"/>
    <w:uiPriority w:val="1"/>
    <w:qFormat/>
    <w:rsid w:val="00986876"/>
    <w:pPr>
      <w:widowControl w:val="0"/>
      <w:autoSpaceDE w:val="0"/>
      <w:autoSpaceDN w:val="0"/>
      <w:spacing w:line="240" w:lineRule="auto"/>
      <w:jc w:val="left"/>
    </w:pPr>
    <w:rPr>
      <w:rFonts w:eastAsia="Times New Roman" w:cs="Times New Roman"/>
      <w:sz w:val="24"/>
      <w:lang w:val="id"/>
      <w14:ligatures w14:val="standardContextual"/>
    </w:rPr>
  </w:style>
  <w:style w:type="character" w:customStyle="1" w:styleId="BodyTextChar">
    <w:name w:val="Body Text Char"/>
    <w:basedOn w:val="DefaultParagraphFont"/>
    <w:link w:val="BodyText"/>
    <w:uiPriority w:val="1"/>
    <w:rsid w:val="00986876"/>
    <w:rPr>
      <w:rFonts w:ascii="Times New Roman" w:eastAsia="Times New Roman" w:hAnsi="Times New Roman" w:cs="Times New Roman"/>
      <w:lang w:val="id"/>
      <w14:ligatures w14:val="standardContextual"/>
    </w:rPr>
  </w:style>
  <w:style w:type="paragraph" w:customStyle="1" w:styleId="TableParagraph">
    <w:name w:val="Table Paragraph"/>
    <w:basedOn w:val="Normal"/>
    <w:uiPriority w:val="1"/>
    <w:qFormat/>
    <w:rsid w:val="009C52FA"/>
    <w:pPr>
      <w:widowControl w:val="0"/>
      <w:autoSpaceDE w:val="0"/>
      <w:autoSpaceDN w:val="0"/>
      <w:spacing w:line="240" w:lineRule="auto"/>
      <w:jc w:val="center"/>
    </w:pPr>
    <w:rPr>
      <w:rFonts w:eastAsia="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929">
      <w:bodyDiv w:val="1"/>
      <w:marLeft w:val="0"/>
      <w:marRight w:val="0"/>
      <w:marTop w:val="0"/>
      <w:marBottom w:val="0"/>
      <w:divBdr>
        <w:top w:val="none" w:sz="0" w:space="0" w:color="auto"/>
        <w:left w:val="none" w:sz="0" w:space="0" w:color="auto"/>
        <w:bottom w:val="none" w:sz="0" w:space="0" w:color="auto"/>
        <w:right w:val="none" w:sz="0" w:space="0" w:color="auto"/>
      </w:divBdr>
    </w:div>
    <w:div w:id="14117753">
      <w:bodyDiv w:val="1"/>
      <w:marLeft w:val="0"/>
      <w:marRight w:val="0"/>
      <w:marTop w:val="0"/>
      <w:marBottom w:val="0"/>
      <w:divBdr>
        <w:top w:val="none" w:sz="0" w:space="0" w:color="auto"/>
        <w:left w:val="none" w:sz="0" w:space="0" w:color="auto"/>
        <w:bottom w:val="none" w:sz="0" w:space="0" w:color="auto"/>
        <w:right w:val="none" w:sz="0" w:space="0" w:color="auto"/>
      </w:divBdr>
    </w:div>
    <w:div w:id="62988216">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30502878">
      <w:bodyDiv w:val="1"/>
      <w:marLeft w:val="0"/>
      <w:marRight w:val="0"/>
      <w:marTop w:val="0"/>
      <w:marBottom w:val="0"/>
      <w:divBdr>
        <w:top w:val="none" w:sz="0" w:space="0" w:color="auto"/>
        <w:left w:val="none" w:sz="0" w:space="0" w:color="auto"/>
        <w:bottom w:val="none" w:sz="0" w:space="0" w:color="auto"/>
        <w:right w:val="none" w:sz="0" w:space="0" w:color="auto"/>
      </w:divBdr>
    </w:div>
    <w:div w:id="346836980">
      <w:bodyDiv w:val="1"/>
      <w:marLeft w:val="0"/>
      <w:marRight w:val="0"/>
      <w:marTop w:val="0"/>
      <w:marBottom w:val="0"/>
      <w:divBdr>
        <w:top w:val="none" w:sz="0" w:space="0" w:color="auto"/>
        <w:left w:val="none" w:sz="0" w:space="0" w:color="auto"/>
        <w:bottom w:val="none" w:sz="0" w:space="0" w:color="auto"/>
        <w:right w:val="none" w:sz="0" w:space="0" w:color="auto"/>
      </w:divBdr>
    </w:div>
    <w:div w:id="416905847">
      <w:bodyDiv w:val="1"/>
      <w:marLeft w:val="0"/>
      <w:marRight w:val="0"/>
      <w:marTop w:val="0"/>
      <w:marBottom w:val="0"/>
      <w:divBdr>
        <w:top w:val="none" w:sz="0" w:space="0" w:color="auto"/>
        <w:left w:val="none" w:sz="0" w:space="0" w:color="auto"/>
        <w:bottom w:val="none" w:sz="0" w:space="0" w:color="auto"/>
        <w:right w:val="none" w:sz="0" w:space="0" w:color="auto"/>
      </w:divBdr>
    </w:div>
    <w:div w:id="520820250">
      <w:bodyDiv w:val="1"/>
      <w:marLeft w:val="0"/>
      <w:marRight w:val="0"/>
      <w:marTop w:val="0"/>
      <w:marBottom w:val="0"/>
      <w:divBdr>
        <w:top w:val="none" w:sz="0" w:space="0" w:color="auto"/>
        <w:left w:val="none" w:sz="0" w:space="0" w:color="auto"/>
        <w:bottom w:val="none" w:sz="0" w:space="0" w:color="auto"/>
        <w:right w:val="none" w:sz="0" w:space="0" w:color="auto"/>
      </w:divBdr>
    </w:div>
    <w:div w:id="719522628">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06431138">
      <w:bodyDiv w:val="1"/>
      <w:marLeft w:val="0"/>
      <w:marRight w:val="0"/>
      <w:marTop w:val="0"/>
      <w:marBottom w:val="0"/>
      <w:divBdr>
        <w:top w:val="none" w:sz="0" w:space="0" w:color="auto"/>
        <w:left w:val="none" w:sz="0" w:space="0" w:color="auto"/>
        <w:bottom w:val="none" w:sz="0" w:space="0" w:color="auto"/>
        <w:right w:val="none" w:sz="0" w:space="0" w:color="auto"/>
      </w:divBdr>
    </w:div>
    <w:div w:id="855270711">
      <w:bodyDiv w:val="1"/>
      <w:marLeft w:val="0"/>
      <w:marRight w:val="0"/>
      <w:marTop w:val="0"/>
      <w:marBottom w:val="0"/>
      <w:divBdr>
        <w:top w:val="none" w:sz="0" w:space="0" w:color="auto"/>
        <w:left w:val="none" w:sz="0" w:space="0" w:color="auto"/>
        <w:bottom w:val="none" w:sz="0" w:space="0" w:color="auto"/>
        <w:right w:val="none" w:sz="0" w:space="0" w:color="auto"/>
      </w:divBdr>
    </w:div>
    <w:div w:id="1011224911">
      <w:bodyDiv w:val="1"/>
      <w:marLeft w:val="0"/>
      <w:marRight w:val="0"/>
      <w:marTop w:val="0"/>
      <w:marBottom w:val="0"/>
      <w:divBdr>
        <w:top w:val="none" w:sz="0" w:space="0" w:color="auto"/>
        <w:left w:val="none" w:sz="0" w:space="0" w:color="auto"/>
        <w:bottom w:val="none" w:sz="0" w:space="0" w:color="auto"/>
        <w:right w:val="none" w:sz="0" w:space="0" w:color="auto"/>
      </w:divBdr>
    </w:div>
    <w:div w:id="105882424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98396105">
      <w:bodyDiv w:val="1"/>
      <w:marLeft w:val="0"/>
      <w:marRight w:val="0"/>
      <w:marTop w:val="0"/>
      <w:marBottom w:val="0"/>
      <w:divBdr>
        <w:top w:val="none" w:sz="0" w:space="0" w:color="auto"/>
        <w:left w:val="none" w:sz="0" w:space="0" w:color="auto"/>
        <w:bottom w:val="none" w:sz="0" w:space="0" w:color="auto"/>
        <w:right w:val="none" w:sz="0" w:space="0" w:color="auto"/>
      </w:divBdr>
    </w:div>
    <w:div w:id="1203178826">
      <w:bodyDiv w:val="1"/>
      <w:marLeft w:val="0"/>
      <w:marRight w:val="0"/>
      <w:marTop w:val="0"/>
      <w:marBottom w:val="0"/>
      <w:divBdr>
        <w:top w:val="none" w:sz="0" w:space="0" w:color="auto"/>
        <w:left w:val="none" w:sz="0" w:space="0" w:color="auto"/>
        <w:bottom w:val="none" w:sz="0" w:space="0" w:color="auto"/>
        <w:right w:val="none" w:sz="0" w:space="0" w:color="auto"/>
      </w:divBdr>
    </w:div>
    <w:div w:id="1207523281">
      <w:bodyDiv w:val="1"/>
      <w:marLeft w:val="0"/>
      <w:marRight w:val="0"/>
      <w:marTop w:val="0"/>
      <w:marBottom w:val="0"/>
      <w:divBdr>
        <w:top w:val="none" w:sz="0" w:space="0" w:color="auto"/>
        <w:left w:val="none" w:sz="0" w:space="0" w:color="auto"/>
        <w:bottom w:val="none" w:sz="0" w:space="0" w:color="auto"/>
        <w:right w:val="none" w:sz="0" w:space="0" w:color="auto"/>
      </w:divBdr>
    </w:div>
    <w:div w:id="1318531042">
      <w:bodyDiv w:val="1"/>
      <w:marLeft w:val="0"/>
      <w:marRight w:val="0"/>
      <w:marTop w:val="0"/>
      <w:marBottom w:val="0"/>
      <w:divBdr>
        <w:top w:val="none" w:sz="0" w:space="0" w:color="auto"/>
        <w:left w:val="none" w:sz="0" w:space="0" w:color="auto"/>
        <w:bottom w:val="none" w:sz="0" w:space="0" w:color="auto"/>
        <w:right w:val="none" w:sz="0" w:space="0" w:color="auto"/>
      </w:divBdr>
    </w:div>
    <w:div w:id="1361854777">
      <w:bodyDiv w:val="1"/>
      <w:marLeft w:val="0"/>
      <w:marRight w:val="0"/>
      <w:marTop w:val="0"/>
      <w:marBottom w:val="0"/>
      <w:divBdr>
        <w:top w:val="none" w:sz="0" w:space="0" w:color="auto"/>
        <w:left w:val="none" w:sz="0" w:space="0" w:color="auto"/>
        <w:bottom w:val="none" w:sz="0" w:space="0" w:color="auto"/>
        <w:right w:val="none" w:sz="0" w:space="0" w:color="auto"/>
      </w:divBdr>
    </w:div>
    <w:div w:id="1393965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503662262">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605187979">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40499322">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12694426">
      <w:bodyDiv w:val="1"/>
      <w:marLeft w:val="0"/>
      <w:marRight w:val="0"/>
      <w:marTop w:val="0"/>
      <w:marBottom w:val="0"/>
      <w:divBdr>
        <w:top w:val="none" w:sz="0" w:space="0" w:color="auto"/>
        <w:left w:val="none" w:sz="0" w:space="0" w:color="auto"/>
        <w:bottom w:val="none" w:sz="0" w:space="0" w:color="auto"/>
        <w:right w:val="none" w:sz="0" w:space="0" w:color="auto"/>
      </w:divBdr>
    </w:div>
    <w:div w:id="1945187553">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060937958">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 w:id="213405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sukariawan@itsi.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56211/tabela.v3i2.113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6211/tabela.v3i2.1135"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deed.id" TargetMode="External"/><Relationship Id="rId1" Type="http://schemas.openxmlformats.org/officeDocument/2006/relationships/hyperlink" Target="https://doi.org/10.56211/tabela.v3i2.113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8598-FD7E-42A7-AC49-0E703EDF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Ilmubersama.com</vt:lpstr>
    </vt:vector>
  </TitlesOfParts>
  <Manager/>
  <Company>Ilmu Bersama Center</Company>
  <LinksUpToDate>false</LinksUpToDate>
  <CharactersWithSpaces>19668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Ilmubersama.com</dc:title>
  <dc:subject>Article Template</dc:subject>
  <dc:creator>Ilmubersama.com</dc:creator>
  <cp:keywords>Ilmubersama.com, template, artikel, article, template, journal</cp:keywords>
  <dc:description>Article template for authors in preparing their manuscripts to Ilmubersama</dc:description>
  <cp:lastModifiedBy>REVIEWER</cp:lastModifiedBy>
  <cp:revision>655</cp:revision>
  <cp:lastPrinted>2022-03-11T08:02:00Z</cp:lastPrinted>
  <dcterms:created xsi:type="dcterms:W3CDTF">2025-07-30T03:59:00Z</dcterms:created>
  <dcterms:modified xsi:type="dcterms:W3CDTF">2025-08-02T13:43:00Z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c3578655a2fb01197707fc15ac5ff42575646aa58d91cb303e0d0b1630e24ed2</vt:lpwstr>
  </property>
  <property fmtid="{D5CDD505-2E9C-101B-9397-08002B2CF9AE}" pid="4" name="Mendeley Document_1">
    <vt:lpwstr>True</vt:lpwstr>
  </property>
  <property fmtid="{D5CDD505-2E9C-101B-9397-08002B2CF9AE}" pid="5" name="Mendeley Citation Style_1">
    <vt:lpwstr>http://www.zotero.org/styles/harvard1</vt:lpwstr>
  </property>
  <property fmtid="{D5CDD505-2E9C-101B-9397-08002B2CF9AE}" pid="6" name="Mendeley Unique User Id_1">
    <vt:lpwstr>536fb5dd-abe5-32d0-8e1e-4b4556097a3a</vt:lpwstr>
  </property>
</Properties>
</file>